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664BA" w14:paraId="2A131A54" w14:textId="77777777" w:rsidTr="00F52949">
        <w:trPr>
          <w:trHeight w:val="852"/>
          <w:jc w:val="center"/>
        </w:trPr>
        <w:tc>
          <w:tcPr>
            <w:tcW w:w="6940" w:type="dxa"/>
            <w:vMerge w:val="restart"/>
            <w:tcBorders>
              <w:right w:val="single" w:sz="4" w:space="0" w:color="auto"/>
            </w:tcBorders>
          </w:tcPr>
          <w:p w14:paraId="38C3D2BA" w14:textId="77777777" w:rsidR="000A03B2" w:rsidRPr="005664BA" w:rsidRDefault="000A03B2" w:rsidP="00DE264A">
            <w:pPr>
              <w:tabs>
                <w:tab w:val="left" w:pos="-108"/>
              </w:tabs>
              <w:ind w:left="-108"/>
              <w:jc w:val="left"/>
              <w:rPr>
                <w:rFonts w:cs="Arial"/>
                <w:b/>
                <w:bCs/>
                <w:i/>
                <w:iCs/>
                <w:color w:val="000066"/>
                <w:sz w:val="12"/>
                <w:szCs w:val="12"/>
                <w:lang w:eastAsia="it-IT"/>
              </w:rPr>
            </w:pPr>
            <w:r w:rsidRPr="005664BA">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664BA">
              <w:rPr>
                <w:rFonts w:ascii="AdvP6960" w:hAnsi="AdvP6960" w:cs="AdvP6960"/>
                <w:color w:val="241F20"/>
                <w:szCs w:val="18"/>
                <w:lang w:eastAsia="it-IT"/>
              </w:rPr>
              <w:t xml:space="preserve"> </w:t>
            </w:r>
            <w:r w:rsidRPr="005664BA">
              <w:rPr>
                <w:rFonts w:cs="Arial"/>
                <w:b/>
                <w:bCs/>
                <w:i/>
                <w:iCs/>
                <w:color w:val="000066"/>
                <w:sz w:val="24"/>
                <w:szCs w:val="24"/>
                <w:lang w:eastAsia="it-IT"/>
              </w:rPr>
              <w:t>CHEMICAL ENGINEERING</w:t>
            </w:r>
            <w:r w:rsidRPr="005664BA">
              <w:rPr>
                <w:rFonts w:cs="Arial"/>
                <w:b/>
                <w:bCs/>
                <w:i/>
                <w:iCs/>
                <w:color w:val="0033FF"/>
                <w:sz w:val="24"/>
                <w:szCs w:val="24"/>
                <w:lang w:eastAsia="it-IT"/>
              </w:rPr>
              <w:t xml:space="preserve"> </w:t>
            </w:r>
            <w:r w:rsidRPr="005664BA">
              <w:rPr>
                <w:rFonts w:cs="Arial"/>
                <w:b/>
                <w:bCs/>
                <w:i/>
                <w:iCs/>
                <w:color w:val="666666"/>
                <w:sz w:val="24"/>
                <w:szCs w:val="24"/>
                <w:lang w:eastAsia="it-IT"/>
              </w:rPr>
              <w:t>TRANSACTIONS</w:t>
            </w:r>
            <w:r w:rsidRPr="005664BA">
              <w:rPr>
                <w:color w:val="333333"/>
                <w:sz w:val="24"/>
                <w:szCs w:val="24"/>
                <w:lang w:eastAsia="it-IT"/>
              </w:rPr>
              <w:t xml:space="preserve"> </w:t>
            </w:r>
            <w:r w:rsidRPr="005664BA">
              <w:rPr>
                <w:rFonts w:cs="Arial"/>
                <w:b/>
                <w:bCs/>
                <w:i/>
                <w:iCs/>
                <w:color w:val="000066"/>
                <w:sz w:val="27"/>
                <w:szCs w:val="27"/>
                <w:lang w:eastAsia="it-IT"/>
              </w:rPr>
              <w:br/>
            </w:r>
          </w:p>
          <w:p w14:paraId="4B780582" w14:textId="2ABE30D6" w:rsidR="000A03B2" w:rsidRPr="005664BA" w:rsidRDefault="00A76EFC" w:rsidP="001D21AF">
            <w:pPr>
              <w:tabs>
                <w:tab w:val="left" w:pos="-108"/>
              </w:tabs>
              <w:ind w:left="-108"/>
              <w:rPr>
                <w:rFonts w:cs="Arial"/>
                <w:b/>
                <w:bCs/>
                <w:i/>
                <w:iCs/>
                <w:color w:val="000066"/>
                <w:sz w:val="22"/>
                <w:szCs w:val="22"/>
                <w:lang w:eastAsia="it-IT"/>
              </w:rPr>
            </w:pPr>
            <w:r w:rsidRPr="005664BA">
              <w:rPr>
                <w:rFonts w:cs="Arial"/>
                <w:b/>
                <w:bCs/>
                <w:i/>
                <w:iCs/>
                <w:color w:val="000066"/>
                <w:sz w:val="22"/>
                <w:szCs w:val="22"/>
                <w:lang w:eastAsia="it-IT"/>
              </w:rPr>
              <w:t xml:space="preserve">VOL. </w:t>
            </w:r>
            <w:r w:rsidR="00D46B7E" w:rsidRPr="005664BA">
              <w:rPr>
                <w:rFonts w:cs="Arial"/>
                <w:b/>
                <w:bCs/>
                <w:i/>
                <w:iCs/>
                <w:color w:val="000066"/>
                <w:sz w:val="22"/>
                <w:szCs w:val="22"/>
                <w:lang w:eastAsia="it-IT"/>
              </w:rPr>
              <w:t>9</w:t>
            </w:r>
            <w:r w:rsidR="004C3D84" w:rsidRPr="005664BA">
              <w:rPr>
                <w:rFonts w:cs="Arial"/>
                <w:b/>
                <w:bCs/>
                <w:i/>
                <w:iCs/>
                <w:color w:val="000066"/>
                <w:sz w:val="22"/>
                <w:szCs w:val="22"/>
                <w:lang w:eastAsia="it-IT"/>
              </w:rPr>
              <w:t>6</w:t>
            </w:r>
            <w:r w:rsidR="007B48F9" w:rsidRPr="005664BA">
              <w:rPr>
                <w:rFonts w:cs="Arial"/>
                <w:b/>
                <w:bCs/>
                <w:i/>
                <w:iCs/>
                <w:color w:val="000066"/>
                <w:sz w:val="22"/>
                <w:szCs w:val="22"/>
                <w:lang w:eastAsia="it-IT"/>
              </w:rPr>
              <w:t>,</w:t>
            </w:r>
            <w:r w:rsidR="00FA5F5F" w:rsidRPr="005664BA">
              <w:rPr>
                <w:rFonts w:cs="Arial"/>
                <w:b/>
                <w:bCs/>
                <w:i/>
                <w:iCs/>
                <w:color w:val="000066"/>
                <w:sz w:val="22"/>
                <w:szCs w:val="22"/>
                <w:lang w:eastAsia="it-IT"/>
              </w:rPr>
              <w:t xml:space="preserve"> 20</w:t>
            </w:r>
            <w:r w:rsidR="00DF5072" w:rsidRPr="005664BA">
              <w:rPr>
                <w:rFonts w:cs="Arial"/>
                <w:b/>
                <w:bCs/>
                <w:i/>
                <w:iCs/>
                <w:color w:val="000066"/>
                <w:sz w:val="22"/>
                <w:szCs w:val="22"/>
                <w:lang w:eastAsia="it-IT"/>
              </w:rPr>
              <w:t>2</w:t>
            </w:r>
            <w:r w:rsidR="007B48F9" w:rsidRPr="005664BA">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5664BA" w:rsidRDefault="000A03B2" w:rsidP="00CD5FE2">
            <w:pPr>
              <w:spacing w:line="140" w:lineRule="atLeast"/>
              <w:jc w:val="right"/>
              <w:rPr>
                <w:rFonts w:cs="Arial"/>
                <w:sz w:val="14"/>
                <w:szCs w:val="14"/>
              </w:rPr>
            </w:pPr>
            <w:r w:rsidRPr="005664BA">
              <w:rPr>
                <w:rFonts w:cs="Arial"/>
                <w:sz w:val="14"/>
                <w:szCs w:val="14"/>
              </w:rPr>
              <w:t>A publication of</w:t>
            </w:r>
          </w:p>
          <w:p w14:paraId="599E5441" w14:textId="2AE68277" w:rsidR="000A03B2" w:rsidRPr="005664BA" w:rsidRDefault="000A03B2" w:rsidP="00CD5FE2">
            <w:pPr>
              <w:jc w:val="right"/>
            </w:pPr>
            <w:r w:rsidRPr="005664BA">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664BA" w14:paraId="380FA3CD" w14:textId="77777777" w:rsidTr="00F52949">
        <w:trPr>
          <w:trHeight w:val="567"/>
          <w:jc w:val="center"/>
        </w:trPr>
        <w:tc>
          <w:tcPr>
            <w:tcW w:w="6940" w:type="dxa"/>
            <w:vMerge/>
            <w:tcBorders>
              <w:right w:val="single" w:sz="4" w:space="0" w:color="auto"/>
            </w:tcBorders>
          </w:tcPr>
          <w:p w14:paraId="39E5E4C1" w14:textId="77777777" w:rsidR="000A03B2" w:rsidRPr="005664BA"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5664BA" w:rsidRDefault="000A03B2" w:rsidP="00CD5FE2">
            <w:pPr>
              <w:spacing w:line="140" w:lineRule="atLeast"/>
              <w:jc w:val="right"/>
              <w:rPr>
                <w:rFonts w:cs="Arial"/>
                <w:sz w:val="14"/>
                <w:szCs w:val="14"/>
              </w:rPr>
            </w:pPr>
            <w:r w:rsidRPr="005664BA">
              <w:rPr>
                <w:rFonts w:cs="Arial"/>
                <w:sz w:val="14"/>
                <w:szCs w:val="14"/>
              </w:rPr>
              <w:t>The Italian Association</w:t>
            </w:r>
          </w:p>
          <w:p w14:paraId="7522B1D2" w14:textId="77777777" w:rsidR="000A03B2" w:rsidRPr="005664BA" w:rsidRDefault="000A03B2" w:rsidP="00CD5FE2">
            <w:pPr>
              <w:spacing w:line="140" w:lineRule="atLeast"/>
              <w:jc w:val="right"/>
              <w:rPr>
                <w:rFonts w:cs="Arial"/>
                <w:sz w:val="14"/>
                <w:szCs w:val="14"/>
              </w:rPr>
            </w:pPr>
            <w:r w:rsidRPr="005664BA">
              <w:rPr>
                <w:rFonts w:cs="Arial"/>
                <w:sz w:val="14"/>
                <w:szCs w:val="14"/>
              </w:rPr>
              <w:t>of Chemical Engineering</w:t>
            </w:r>
          </w:p>
          <w:p w14:paraId="4F0CC5DE" w14:textId="47FDB2FC" w:rsidR="000A03B2" w:rsidRPr="005664BA" w:rsidRDefault="000D0268" w:rsidP="00CD5FE2">
            <w:pPr>
              <w:spacing w:line="140" w:lineRule="atLeast"/>
              <w:jc w:val="right"/>
              <w:rPr>
                <w:rFonts w:cs="Arial"/>
                <w:sz w:val="13"/>
                <w:szCs w:val="13"/>
              </w:rPr>
            </w:pPr>
            <w:r w:rsidRPr="005664BA">
              <w:rPr>
                <w:rFonts w:cs="Arial"/>
                <w:sz w:val="13"/>
                <w:szCs w:val="13"/>
              </w:rPr>
              <w:t>Online at www.cetjournal.it</w:t>
            </w:r>
          </w:p>
        </w:tc>
      </w:tr>
      <w:tr w:rsidR="000A03B2" w:rsidRPr="005664BA" w14:paraId="2D1B7169" w14:textId="77777777" w:rsidTr="00F52949">
        <w:trPr>
          <w:trHeight w:val="68"/>
          <w:jc w:val="center"/>
        </w:trPr>
        <w:tc>
          <w:tcPr>
            <w:tcW w:w="8782" w:type="dxa"/>
            <w:gridSpan w:val="2"/>
          </w:tcPr>
          <w:p w14:paraId="4B0BB442" w14:textId="2E218E1D" w:rsidR="00300E56" w:rsidRPr="005664BA" w:rsidRDefault="00300E56" w:rsidP="00B57E6F">
            <w:pPr>
              <w:ind w:left="-107"/>
              <w:outlineLvl w:val="2"/>
              <w:rPr>
                <w:rFonts w:ascii="Tahoma" w:hAnsi="Tahoma" w:cs="Tahoma"/>
                <w:bCs/>
                <w:color w:val="000000"/>
                <w:sz w:val="14"/>
                <w:szCs w:val="14"/>
                <w:lang w:eastAsia="it-IT"/>
              </w:rPr>
            </w:pPr>
            <w:r w:rsidRPr="005664BA">
              <w:rPr>
                <w:rFonts w:ascii="Tahoma" w:hAnsi="Tahoma" w:cs="Tahoma"/>
                <w:iCs/>
                <w:color w:val="333333"/>
                <w:sz w:val="14"/>
                <w:szCs w:val="14"/>
                <w:lang w:eastAsia="it-IT"/>
              </w:rPr>
              <w:t>Guest Editors:</w:t>
            </w:r>
            <w:r w:rsidR="001D21AF" w:rsidRPr="005664BA">
              <w:rPr>
                <w:rFonts w:ascii="Tahoma" w:hAnsi="Tahoma" w:cs="Tahoma"/>
                <w:color w:val="000000"/>
                <w:sz w:val="14"/>
                <w:szCs w:val="14"/>
                <w:shd w:val="clear" w:color="auto" w:fill="FFFFFF"/>
              </w:rPr>
              <w:t xml:space="preserve"> </w:t>
            </w:r>
            <w:r w:rsidR="004C3D84" w:rsidRPr="005664BA">
              <w:rPr>
                <w:sz w:val="14"/>
                <w:szCs w:val="14"/>
              </w:rPr>
              <w:t>David Bogle, Flavio Manenti, Piero Salatino</w:t>
            </w:r>
          </w:p>
          <w:p w14:paraId="1B0F1814" w14:textId="17CEC68E" w:rsidR="000A03B2" w:rsidRPr="005664BA" w:rsidRDefault="00FA5F5F" w:rsidP="001D21AF">
            <w:pPr>
              <w:tabs>
                <w:tab w:val="left" w:pos="-108"/>
              </w:tabs>
              <w:spacing w:line="140" w:lineRule="atLeast"/>
              <w:ind w:left="-107"/>
              <w:jc w:val="left"/>
            </w:pPr>
            <w:r w:rsidRPr="005664BA">
              <w:rPr>
                <w:rFonts w:ascii="Tahoma" w:hAnsi="Tahoma" w:cs="Tahoma"/>
                <w:iCs/>
                <w:color w:val="333333"/>
                <w:sz w:val="14"/>
                <w:szCs w:val="14"/>
                <w:lang w:eastAsia="it-IT"/>
              </w:rPr>
              <w:t>Copyright © 20</w:t>
            </w:r>
            <w:r w:rsidR="00DF5072" w:rsidRPr="005664BA">
              <w:rPr>
                <w:rFonts w:ascii="Tahoma" w:hAnsi="Tahoma" w:cs="Tahoma"/>
                <w:iCs/>
                <w:color w:val="333333"/>
                <w:sz w:val="14"/>
                <w:szCs w:val="14"/>
                <w:lang w:eastAsia="it-IT"/>
              </w:rPr>
              <w:t>2</w:t>
            </w:r>
            <w:r w:rsidR="00E72EAD" w:rsidRPr="005664BA">
              <w:rPr>
                <w:rFonts w:ascii="Tahoma" w:hAnsi="Tahoma" w:cs="Tahoma"/>
                <w:iCs/>
                <w:color w:val="333333"/>
                <w:sz w:val="14"/>
                <w:szCs w:val="14"/>
                <w:lang w:eastAsia="it-IT"/>
              </w:rPr>
              <w:t>2</w:t>
            </w:r>
            <w:r w:rsidR="00904C62" w:rsidRPr="005664BA">
              <w:rPr>
                <w:rFonts w:ascii="Tahoma" w:hAnsi="Tahoma" w:cs="Tahoma"/>
                <w:iCs/>
                <w:color w:val="333333"/>
                <w:sz w:val="14"/>
                <w:szCs w:val="14"/>
                <w:lang w:eastAsia="it-IT"/>
              </w:rPr>
              <w:t>, AIDIC Servizi S.r.l.</w:t>
            </w:r>
            <w:r w:rsidR="00300E56" w:rsidRPr="005664BA">
              <w:rPr>
                <w:rFonts w:ascii="Tahoma" w:hAnsi="Tahoma" w:cs="Tahoma"/>
                <w:iCs/>
                <w:color w:val="333333"/>
                <w:sz w:val="14"/>
                <w:szCs w:val="14"/>
                <w:lang w:eastAsia="it-IT"/>
              </w:rPr>
              <w:br/>
            </w:r>
            <w:r w:rsidR="00300E56" w:rsidRPr="005664BA">
              <w:rPr>
                <w:rFonts w:ascii="Tahoma" w:hAnsi="Tahoma" w:cs="Tahoma"/>
                <w:b/>
                <w:iCs/>
                <w:color w:val="000000"/>
                <w:sz w:val="14"/>
                <w:szCs w:val="14"/>
                <w:lang w:eastAsia="it-IT"/>
              </w:rPr>
              <w:t>ISBN</w:t>
            </w:r>
            <w:r w:rsidR="00300E56" w:rsidRPr="005664BA">
              <w:rPr>
                <w:rFonts w:ascii="Tahoma" w:hAnsi="Tahoma" w:cs="Tahoma"/>
                <w:iCs/>
                <w:color w:val="000000"/>
                <w:sz w:val="14"/>
                <w:szCs w:val="14"/>
                <w:lang w:eastAsia="it-IT"/>
              </w:rPr>
              <w:t xml:space="preserve"> </w:t>
            </w:r>
            <w:r w:rsidR="008D32B9" w:rsidRPr="005664BA">
              <w:rPr>
                <w:rFonts w:ascii="Tahoma" w:hAnsi="Tahoma" w:cs="Tahoma"/>
                <w:sz w:val="14"/>
                <w:szCs w:val="14"/>
              </w:rPr>
              <w:t>978-88-95608</w:t>
            </w:r>
            <w:r w:rsidR="00D46B7E" w:rsidRPr="005664BA">
              <w:rPr>
                <w:rFonts w:ascii="Tahoma" w:hAnsi="Tahoma" w:cs="Tahoma"/>
                <w:sz w:val="14"/>
                <w:szCs w:val="14"/>
              </w:rPr>
              <w:t>-</w:t>
            </w:r>
            <w:r w:rsidR="001D21AF" w:rsidRPr="005664BA">
              <w:rPr>
                <w:rFonts w:ascii="Tahoma" w:hAnsi="Tahoma" w:cs="Tahoma"/>
                <w:sz w:val="14"/>
                <w:szCs w:val="14"/>
              </w:rPr>
              <w:t>9</w:t>
            </w:r>
            <w:r w:rsidR="008D4A16" w:rsidRPr="005664BA">
              <w:rPr>
                <w:rFonts w:ascii="Tahoma" w:hAnsi="Tahoma" w:cs="Tahoma"/>
                <w:sz w:val="14"/>
                <w:szCs w:val="14"/>
              </w:rPr>
              <w:t>5</w:t>
            </w:r>
            <w:r w:rsidR="00D46B7E" w:rsidRPr="005664BA">
              <w:rPr>
                <w:rFonts w:ascii="Tahoma" w:hAnsi="Tahoma" w:cs="Tahoma"/>
                <w:sz w:val="14"/>
                <w:szCs w:val="14"/>
              </w:rPr>
              <w:t>-</w:t>
            </w:r>
            <w:r w:rsidR="008D4A16" w:rsidRPr="005664BA">
              <w:rPr>
                <w:rFonts w:ascii="Tahoma" w:hAnsi="Tahoma" w:cs="Tahoma"/>
                <w:sz w:val="14"/>
                <w:szCs w:val="14"/>
              </w:rPr>
              <w:t>2</w:t>
            </w:r>
            <w:r w:rsidR="007B48F9" w:rsidRPr="005664BA">
              <w:rPr>
                <w:rFonts w:ascii="Tahoma" w:hAnsi="Tahoma" w:cs="Tahoma"/>
                <w:iCs/>
                <w:color w:val="333333"/>
                <w:sz w:val="14"/>
                <w:szCs w:val="14"/>
                <w:lang w:eastAsia="it-IT"/>
              </w:rPr>
              <w:t>;</w:t>
            </w:r>
            <w:r w:rsidR="00300E56" w:rsidRPr="005664BA">
              <w:rPr>
                <w:rFonts w:ascii="Tahoma" w:hAnsi="Tahoma" w:cs="Tahoma"/>
                <w:iCs/>
                <w:color w:val="333333"/>
                <w:sz w:val="14"/>
                <w:szCs w:val="14"/>
                <w:lang w:eastAsia="it-IT"/>
              </w:rPr>
              <w:t xml:space="preserve"> </w:t>
            </w:r>
            <w:r w:rsidR="00300E56" w:rsidRPr="005664BA">
              <w:rPr>
                <w:rFonts w:ascii="Tahoma" w:hAnsi="Tahoma" w:cs="Tahoma"/>
                <w:b/>
                <w:iCs/>
                <w:color w:val="333333"/>
                <w:sz w:val="14"/>
                <w:szCs w:val="14"/>
                <w:lang w:eastAsia="it-IT"/>
              </w:rPr>
              <w:t>ISSN</w:t>
            </w:r>
            <w:r w:rsidR="00300E56" w:rsidRPr="005664BA">
              <w:rPr>
                <w:rFonts w:ascii="Tahoma" w:hAnsi="Tahoma" w:cs="Tahoma"/>
                <w:iCs/>
                <w:color w:val="333333"/>
                <w:sz w:val="14"/>
                <w:szCs w:val="14"/>
                <w:lang w:eastAsia="it-IT"/>
              </w:rPr>
              <w:t xml:space="preserve"> 2283-9216</w:t>
            </w:r>
          </w:p>
        </w:tc>
      </w:tr>
    </w:tbl>
    <w:p w14:paraId="04730A59" w14:textId="132DEFBB" w:rsidR="00C617EE" w:rsidRPr="005664BA" w:rsidRDefault="00F52949" w:rsidP="00C617EE">
      <w:pPr>
        <w:pStyle w:val="CETHeading1"/>
        <w:numPr>
          <w:ilvl w:val="0"/>
          <w:numId w:val="0"/>
        </w:numPr>
        <w:rPr>
          <w:lang w:val="en-GB"/>
        </w:rPr>
      </w:pPr>
      <w:r w:rsidRPr="005664BA">
        <w:rPr>
          <w:lang w:val="en-GB"/>
        </w:rPr>
        <w:t>SEPARATION OF BIOBUTANOL FROM FERMENTATION SOLUTIONS BY PERSTRACTION USING [</w:t>
      </w:r>
      <w:r w:rsidR="00A84A7D" w:rsidRPr="005664BA">
        <w:rPr>
          <w:lang w:val="en-GB"/>
        </w:rPr>
        <w:t>P</w:t>
      </w:r>
      <w:r w:rsidR="00A84A7D" w:rsidRPr="005664BA">
        <w:rPr>
          <w:vertAlign w:val="subscript"/>
          <w:lang w:val="en-GB"/>
        </w:rPr>
        <w:t>6,6,6,14</w:t>
      </w:r>
      <w:r w:rsidRPr="005664BA">
        <w:rPr>
          <w:lang w:val="en-GB"/>
        </w:rPr>
        <w:t>][T</w:t>
      </w:r>
      <w:r w:rsidR="00FB3E77" w:rsidRPr="005664BA">
        <w:rPr>
          <w:lang w:val="en-GB"/>
        </w:rPr>
        <w:t>f</w:t>
      </w:r>
      <w:r w:rsidRPr="005664BA">
        <w:rPr>
          <w:vertAlign w:val="subscript"/>
          <w:lang w:val="en-GB"/>
        </w:rPr>
        <w:t>2</w:t>
      </w:r>
      <w:r w:rsidRPr="005664BA">
        <w:rPr>
          <w:lang w:val="en-GB"/>
        </w:rPr>
        <w:t>N] AS RECEIVING PHAS</w:t>
      </w:r>
      <w:r w:rsidR="005961EF" w:rsidRPr="005664BA">
        <w:rPr>
          <w:lang w:val="en-GB"/>
        </w:rPr>
        <w:t>E</w:t>
      </w:r>
      <w:r w:rsidR="00907C71" w:rsidRPr="005664BA">
        <w:rPr>
          <w:lang w:val="en-GB"/>
        </w:rPr>
        <w:t>:</w:t>
      </w:r>
      <w:r w:rsidR="00F174D1" w:rsidRPr="005664BA">
        <w:rPr>
          <w:lang w:val="en-GB"/>
        </w:rPr>
        <w:t xml:space="preserve"> PHASE TEMPERATURE </w:t>
      </w:r>
      <w:r w:rsidR="002C149B" w:rsidRPr="005664BA">
        <w:rPr>
          <w:lang w:val="en-GB"/>
        </w:rPr>
        <w:t>ANALYSIS</w:t>
      </w:r>
      <w:r w:rsidR="00F174D1" w:rsidRPr="005664BA">
        <w:rPr>
          <w:lang w:val="en-GB"/>
        </w:rPr>
        <w:t xml:space="preserve"> </w:t>
      </w:r>
    </w:p>
    <w:p w14:paraId="312812D7" w14:textId="39258668" w:rsidR="00C617EE" w:rsidRPr="00DA0CB3" w:rsidRDefault="00C617EE" w:rsidP="00C23C51">
      <w:pPr>
        <w:pStyle w:val="CETAuthors"/>
        <w:rPr>
          <w:lang w:val="es-CL"/>
        </w:rPr>
      </w:pPr>
      <w:r w:rsidRPr="00DA0CB3">
        <w:rPr>
          <w:lang w:val="es-CL"/>
        </w:rPr>
        <w:t>René A. Cabezas</w:t>
      </w:r>
      <w:r w:rsidR="0072405B" w:rsidRPr="00DA0CB3">
        <w:rPr>
          <w:vertAlign w:val="superscript"/>
          <w:lang w:val="es-CL"/>
        </w:rPr>
        <w:t>a</w:t>
      </w:r>
      <w:r w:rsidR="00201EDC" w:rsidRPr="00DA0CB3">
        <w:rPr>
          <w:vertAlign w:val="superscript"/>
          <w:lang w:val="es-CL"/>
        </w:rPr>
        <w:t>*</w:t>
      </w:r>
      <w:r w:rsidRPr="00DA0CB3">
        <w:rPr>
          <w:lang w:val="es-CL"/>
        </w:rPr>
        <w:t>, Christian A. Riquelme</w:t>
      </w:r>
      <w:r w:rsidR="00201EDC" w:rsidRPr="00DA0CB3">
        <w:rPr>
          <w:vertAlign w:val="superscript"/>
          <w:lang w:val="es-CL"/>
        </w:rPr>
        <w:t>b</w:t>
      </w:r>
      <w:r w:rsidRPr="00DA0CB3">
        <w:rPr>
          <w:lang w:val="es-CL"/>
        </w:rPr>
        <w:t>, Gastón Merlet</w:t>
      </w:r>
      <w:r w:rsidR="0072405B" w:rsidRPr="00DA0CB3">
        <w:rPr>
          <w:vertAlign w:val="superscript"/>
          <w:lang w:val="es-CL"/>
        </w:rPr>
        <w:t>c</w:t>
      </w:r>
      <w:r w:rsidRPr="00DA0CB3">
        <w:rPr>
          <w:lang w:val="es-CL"/>
        </w:rPr>
        <w:t>, Esteban Quijada-Maldonado</w:t>
      </w:r>
      <w:r w:rsidR="0072405B" w:rsidRPr="00DA0CB3">
        <w:rPr>
          <w:vertAlign w:val="superscript"/>
          <w:lang w:val="es-CL"/>
        </w:rPr>
        <w:t>d</w:t>
      </w:r>
      <w:r w:rsidRPr="00DA0CB3">
        <w:rPr>
          <w:lang w:val="es-CL"/>
        </w:rPr>
        <w:t>, Julio R. Romero</w:t>
      </w:r>
      <w:r w:rsidR="00201EDC" w:rsidRPr="00DA0CB3">
        <w:rPr>
          <w:vertAlign w:val="superscript"/>
          <w:lang w:val="es-CL"/>
        </w:rPr>
        <w:t>b</w:t>
      </w:r>
    </w:p>
    <w:p w14:paraId="3EA62A21" w14:textId="7663FBFA" w:rsidR="00201EDC" w:rsidRPr="00DA0CB3" w:rsidRDefault="00201EDC" w:rsidP="00D57192">
      <w:pPr>
        <w:pStyle w:val="CETAddress"/>
        <w:rPr>
          <w:lang w:val="es-CL"/>
        </w:rPr>
      </w:pPr>
      <w:r w:rsidRPr="00DA0CB3">
        <w:rPr>
          <w:vertAlign w:val="superscript"/>
          <w:lang w:val="es-CL"/>
        </w:rPr>
        <w:t>a</w:t>
      </w:r>
      <w:r w:rsidR="00D57192" w:rsidRPr="00DA0CB3">
        <w:rPr>
          <w:vertAlign w:val="superscript"/>
          <w:lang w:val="es-CL"/>
        </w:rPr>
        <w:t xml:space="preserve"> </w:t>
      </w:r>
      <w:r w:rsidRPr="00DA0CB3">
        <w:rPr>
          <w:lang w:val="es-CL"/>
        </w:rPr>
        <w:t>Departamento de Química Ambiental, Facultad de Ciencias, Universidad Católica de la Santísima Concepción, Concepción, Chile</w:t>
      </w:r>
    </w:p>
    <w:p w14:paraId="74C691BC" w14:textId="77777777" w:rsidR="00D57192" w:rsidRPr="00DA0CB3" w:rsidRDefault="00D57192" w:rsidP="00D57192">
      <w:pPr>
        <w:pStyle w:val="CETAddress"/>
        <w:rPr>
          <w:lang w:val="es-CL"/>
        </w:rPr>
      </w:pPr>
    </w:p>
    <w:p w14:paraId="616A8F5F" w14:textId="2C6FF078" w:rsidR="0072405B" w:rsidRPr="005664BA" w:rsidRDefault="00201EDC" w:rsidP="00D57192">
      <w:pPr>
        <w:pStyle w:val="CETAddress"/>
      </w:pPr>
      <w:r w:rsidRPr="005664BA">
        <w:rPr>
          <w:vertAlign w:val="superscript"/>
        </w:rPr>
        <w:t>b</w:t>
      </w:r>
      <w:r w:rsidR="00D57192" w:rsidRPr="005664BA">
        <w:rPr>
          <w:vertAlign w:val="superscript"/>
        </w:rPr>
        <w:t xml:space="preserve"> </w:t>
      </w:r>
      <w:r w:rsidR="0072405B" w:rsidRPr="005664BA">
        <w:t>Laboratory of Membrane Separation Processes (LabProSeM), Department of Chemical Engineering, U</w:t>
      </w:r>
      <w:r w:rsidR="005961EF" w:rsidRPr="005664BA">
        <w:t>niversity</w:t>
      </w:r>
      <w:r w:rsidR="0072405B" w:rsidRPr="005664BA">
        <w:t xml:space="preserve"> of Santiago de Chile, Chile.</w:t>
      </w:r>
    </w:p>
    <w:p w14:paraId="09E2FFAB" w14:textId="77777777" w:rsidR="00D57192" w:rsidRPr="005664BA" w:rsidRDefault="00D57192" w:rsidP="00D57192">
      <w:pPr>
        <w:pStyle w:val="CETAddress"/>
      </w:pPr>
    </w:p>
    <w:p w14:paraId="7FC0BCD7" w14:textId="5B086A90" w:rsidR="00201EDC" w:rsidRPr="00DA0CB3" w:rsidRDefault="00201EDC" w:rsidP="00D57192">
      <w:pPr>
        <w:pStyle w:val="CETAddress"/>
        <w:rPr>
          <w:lang w:val="es-CL"/>
        </w:rPr>
      </w:pPr>
      <w:r w:rsidRPr="00DA0CB3">
        <w:rPr>
          <w:vertAlign w:val="superscript"/>
          <w:lang w:val="es-CL"/>
        </w:rPr>
        <w:t>c</w:t>
      </w:r>
      <w:r w:rsidRPr="00DA0CB3">
        <w:rPr>
          <w:lang w:val="es-CL"/>
        </w:rPr>
        <w:t xml:space="preserve"> Departamento de Agroindustrias, Facultad de Ingeniería Agrícola, Universidad de Concepción, Chill</w:t>
      </w:r>
      <w:r w:rsidR="002C149B" w:rsidRPr="00DA0CB3">
        <w:rPr>
          <w:lang w:val="es-CL"/>
        </w:rPr>
        <w:t>á</w:t>
      </w:r>
      <w:r w:rsidRPr="00DA0CB3">
        <w:rPr>
          <w:lang w:val="es-CL"/>
        </w:rPr>
        <w:t>n, Chile.</w:t>
      </w:r>
    </w:p>
    <w:p w14:paraId="45322DFC" w14:textId="77777777" w:rsidR="00D57192" w:rsidRPr="00DA0CB3" w:rsidRDefault="00D57192" w:rsidP="00D57192">
      <w:pPr>
        <w:pStyle w:val="CETAddress"/>
        <w:rPr>
          <w:lang w:val="es-CL"/>
        </w:rPr>
      </w:pPr>
    </w:p>
    <w:p w14:paraId="500B2CCB" w14:textId="0AB2F807" w:rsidR="0072405B" w:rsidRPr="005664BA" w:rsidRDefault="00201EDC" w:rsidP="00D57192">
      <w:pPr>
        <w:pStyle w:val="CETAddress"/>
      </w:pPr>
      <w:r w:rsidRPr="005664BA">
        <w:rPr>
          <w:vertAlign w:val="superscript"/>
        </w:rPr>
        <w:t>d</w:t>
      </w:r>
      <w:r w:rsidR="00D57192" w:rsidRPr="005664BA">
        <w:rPr>
          <w:vertAlign w:val="superscript"/>
        </w:rPr>
        <w:t xml:space="preserve"> </w:t>
      </w:r>
      <w:r w:rsidR="00D57192" w:rsidRPr="005664BA">
        <w:t>Laboratory of Separation Processes Intensification (SPI), Department of Chemical Engineering, University of Santiago de Chile</w:t>
      </w:r>
    </w:p>
    <w:p w14:paraId="2201B511" w14:textId="581066A1" w:rsidR="00D57192" w:rsidRPr="005664BA" w:rsidRDefault="00D57192" w:rsidP="00D57192">
      <w:pPr>
        <w:pStyle w:val="CETAddress"/>
      </w:pPr>
      <w:r w:rsidRPr="005664BA">
        <w:t>Corresponding author:rene.cabezas@ucsc.cl</w:t>
      </w:r>
    </w:p>
    <w:p w14:paraId="083E0063" w14:textId="77777777" w:rsidR="00D57192" w:rsidRPr="005664BA" w:rsidRDefault="00D57192" w:rsidP="00D57192">
      <w:pPr>
        <w:pStyle w:val="CETAddress"/>
      </w:pPr>
    </w:p>
    <w:p w14:paraId="204FD19A" w14:textId="19F66867" w:rsidR="0061293E" w:rsidRPr="00A55AB5" w:rsidRDefault="00CC0E7A" w:rsidP="005266BF">
      <w:pPr>
        <w:pStyle w:val="CETBodytext"/>
        <w:rPr>
          <w:szCs w:val="18"/>
          <w:lang w:val="en-GB"/>
        </w:rPr>
      </w:pPr>
      <w:r w:rsidRPr="005664BA">
        <w:rPr>
          <w:szCs w:val="18"/>
          <w:lang w:val="en-GB"/>
        </w:rPr>
        <w:t xml:space="preserve">In this work, the perstraction process was implemented to separate butanol, acetone and ethanol from </w:t>
      </w:r>
      <w:r w:rsidR="00744095" w:rsidRPr="005664BA">
        <w:rPr>
          <w:szCs w:val="18"/>
          <w:lang w:val="en-GB"/>
        </w:rPr>
        <w:t xml:space="preserve">a model fermentation </w:t>
      </w:r>
      <w:r w:rsidRPr="005664BA">
        <w:rPr>
          <w:szCs w:val="18"/>
          <w:lang w:val="en-GB"/>
        </w:rPr>
        <w:t>aqueous</w:t>
      </w:r>
      <w:r w:rsidR="0061293E" w:rsidRPr="005664BA">
        <w:rPr>
          <w:lang w:val="en-GB"/>
        </w:rPr>
        <w:t xml:space="preserve"> </w:t>
      </w:r>
      <w:r w:rsidRPr="005664BA">
        <w:rPr>
          <w:szCs w:val="18"/>
          <w:lang w:val="en-GB"/>
        </w:rPr>
        <w:t>solutions using</w:t>
      </w:r>
      <w:r w:rsidR="00CA0274" w:rsidRPr="005664BA">
        <w:rPr>
          <w:szCs w:val="18"/>
          <w:lang w:val="en-GB"/>
        </w:rPr>
        <w:t xml:space="preserve"> </w:t>
      </w:r>
      <w:r w:rsidR="00F52949" w:rsidRPr="005664BA">
        <w:rPr>
          <w:szCs w:val="18"/>
          <w:lang w:val="en-GB"/>
        </w:rPr>
        <w:t>[</w:t>
      </w:r>
      <w:r w:rsidR="00A84A7D" w:rsidRPr="005664BA">
        <w:rPr>
          <w:lang w:val="en-GB"/>
        </w:rPr>
        <w:t>P</w:t>
      </w:r>
      <w:r w:rsidR="00A84A7D" w:rsidRPr="005664BA">
        <w:rPr>
          <w:vertAlign w:val="subscript"/>
          <w:lang w:val="en-GB"/>
        </w:rPr>
        <w:t>6,6,6,14</w:t>
      </w:r>
      <w:r w:rsidR="00F52949" w:rsidRPr="005664BA">
        <w:rPr>
          <w:szCs w:val="18"/>
          <w:lang w:val="en-GB"/>
        </w:rPr>
        <w:t>][Tf</w:t>
      </w:r>
      <w:r w:rsidR="00F52949" w:rsidRPr="005664BA">
        <w:rPr>
          <w:sz w:val="12"/>
          <w:szCs w:val="12"/>
          <w:lang w:val="en-GB"/>
        </w:rPr>
        <w:t>2</w:t>
      </w:r>
      <w:r w:rsidR="00F52949" w:rsidRPr="005664BA">
        <w:rPr>
          <w:szCs w:val="18"/>
          <w:lang w:val="en-GB"/>
        </w:rPr>
        <w:t>N]</w:t>
      </w:r>
      <w:r w:rsidR="003775FC" w:rsidRPr="005664BA">
        <w:rPr>
          <w:szCs w:val="18"/>
          <w:lang w:val="en-GB"/>
        </w:rPr>
        <w:t>, which is</w:t>
      </w:r>
      <w:r w:rsidR="00F52949" w:rsidRPr="005664BA">
        <w:rPr>
          <w:szCs w:val="18"/>
          <w:lang w:val="en-GB"/>
        </w:rPr>
        <w:t xml:space="preserve"> a </w:t>
      </w:r>
      <w:r w:rsidR="00FB3E77" w:rsidRPr="005664BA">
        <w:rPr>
          <w:szCs w:val="18"/>
          <w:lang w:val="en-GB"/>
        </w:rPr>
        <w:t>highly hydrophobic</w:t>
      </w:r>
      <w:r w:rsidRPr="005664BA">
        <w:rPr>
          <w:szCs w:val="18"/>
          <w:lang w:val="en-GB"/>
        </w:rPr>
        <w:t xml:space="preserve"> </w:t>
      </w:r>
      <w:r w:rsidR="00744095" w:rsidRPr="005664BA">
        <w:rPr>
          <w:szCs w:val="18"/>
          <w:lang w:val="en-GB"/>
        </w:rPr>
        <w:t>phosphonium based  i</w:t>
      </w:r>
      <w:r w:rsidRPr="005664BA">
        <w:rPr>
          <w:szCs w:val="18"/>
          <w:lang w:val="en-GB"/>
        </w:rPr>
        <w:t>onic liquid as receiving phase. Perstraction assays were carried out using a</w:t>
      </w:r>
      <w:r w:rsidR="0054626C" w:rsidRPr="005664BA">
        <w:rPr>
          <w:szCs w:val="18"/>
          <w:lang w:val="en-GB"/>
        </w:rPr>
        <w:t xml:space="preserve"> flat </w:t>
      </w:r>
      <w:r w:rsidR="00242796" w:rsidRPr="005664BA">
        <w:rPr>
          <w:szCs w:val="18"/>
          <w:lang w:val="en-GB"/>
        </w:rPr>
        <w:t>sheet dense</w:t>
      </w:r>
      <w:r w:rsidRPr="005664BA">
        <w:rPr>
          <w:szCs w:val="18"/>
          <w:lang w:val="en-GB"/>
        </w:rPr>
        <w:t xml:space="preserve"> membrane </w:t>
      </w:r>
      <w:r w:rsidR="000E2C4C" w:rsidRPr="005664BA">
        <w:rPr>
          <w:szCs w:val="18"/>
          <w:lang w:val="en-GB"/>
        </w:rPr>
        <w:t>of</w:t>
      </w:r>
      <w:r w:rsidRPr="005664BA">
        <w:rPr>
          <w:szCs w:val="18"/>
          <w:lang w:val="en-GB"/>
        </w:rPr>
        <w:t xml:space="preserve"> polydimethylsiloxane (PDMS) </w:t>
      </w:r>
      <w:r w:rsidR="00A55AB5" w:rsidRPr="005664BA">
        <w:rPr>
          <w:szCs w:val="18"/>
          <w:lang w:val="en-GB"/>
        </w:rPr>
        <w:t>to</w:t>
      </w:r>
      <w:r w:rsidRPr="005664BA">
        <w:rPr>
          <w:szCs w:val="18"/>
          <w:lang w:val="en-GB"/>
        </w:rPr>
        <w:t xml:space="preserve"> quantify the extraction percentage</w:t>
      </w:r>
      <w:r w:rsidR="00CA0274" w:rsidRPr="005664BA">
        <w:rPr>
          <w:szCs w:val="18"/>
          <w:lang w:val="en-GB"/>
        </w:rPr>
        <w:t xml:space="preserve">, </w:t>
      </w:r>
      <w:r w:rsidRPr="005664BA">
        <w:rPr>
          <w:szCs w:val="18"/>
          <w:lang w:val="en-GB"/>
        </w:rPr>
        <w:t xml:space="preserve">transmembrane </w:t>
      </w:r>
      <w:r w:rsidRPr="005664BA">
        <w:rPr>
          <w:rFonts w:cs="Arial"/>
          <w:szCs w:val="18"/>
          <w:lang w:val="en-GB"/>
        </w:rPr>
        <w:t>fl</w:t>
      </w:r>
      <w:r w:rsidRPr="005664BA">
        <w:rPr>
          <w:szCs w:val="18"/>
          <w:lang w:val="en-GB"/>
        </w:rPr>
        <w:t>uxes of butanol</w:t>
      </w:r>
      <w:r w:rsidR="00744095" w:rsidRPr="005664BA">
        <w:rPr>
          <w:szCs w:val="18"/>
          <w:lang w:val="en-GB"/>
        </w:rPr>
        <w:t xml:space="preserve">, </w:t>
      </w:r>
      <w:r w:rsidR="00A84A7D" w:rsidRPr="005664BA">
        <w:rPr>
          <w:szCs w:val="18"/>
          <w:lang w:val="en-GB"/>
        </w:rPr>
        <w:t>water</w:t>
      </w:r>
      <w:r w:rsidR="000E2C4C" w:rsidRPr="005664BA">
        <w:rPr>
          <w:szCs w:val="18"/>
          <w:lang w:val="en-GB"/>
        </w:rPr>
        <w:t xml:space="preserve"> and butanol/water selectivity </w:t>
      </w:r>
      <w:r w:rsidR="005266BF" w:rsidRPr="005664BA">
        <w:rPr>
          <w:rStyle w:val="q4iawc"/>
          <w:lang w:val="en-GB"/>
        </w:rPr>
        <w:t>focused on the effect of the temperature difference between the</w:t>
      </w:r>
      <w:r w:rsidR="000E2C4C" w:rsidRPr="005664BA">
        <w:rPr>
          <w:rStyle w:val="q4iawc"/>
          <w:lang w:val="en-GB"/>
        </w:rPr>
        <w:t xml:space="preserve"> feed and </w:t>
      </w:r>
      <w:r w:rsidR="005961EF" w:rsidRPr="005664BA">
        <w:rPr>
          <w:rStyle w:val="q4iawc"/>
          <w:lang w:val="en-GB"/>
        </w:rPr>
        <w:t xml:space="preserve">extractant phase. </w:t>
      </w:r>
      <w:r w:rsidRPr="005664BA">
        <w:rPr>
          <w:szCs w:val="18"/>
          <w:lang w:val="en-GB"/>
        </w:rPr>
        <w:t xml:space="preserve">The results indicate that the </w:t>
      </w:r>
      <w:r w:rsidRPr="005664BA">
        <w:rPr>
          <w:rFonts w:cs="Arial"/>
          <w:szCs w:val="18"/>
          <w:lang w:val="en-GB"/>
        </w:rPr>
        <w:t>fl</w:t>
      </w:r>
      <w:r w:rsidRPr="005664BA">
        <w:rPr>
          <w:szCs w:val="18"/>
          <w:lang w:val="en-GB"/>
        </w:rPr>
        <w:t>uxes of butanol were particularly high considering  the PDMS</w:t>
      </w:r>
      <w:r w:rsidR="005266BF" w:rsidRPr="005664BA">
        <w:rPr>
          <w:lang w:val="en-GB"/>
        </w:rPr>
        <w:t xml:space="preserve"> </w:t>
      </w:r>
      <w:r w:rsidRPr="005664BA">
        <w:rPr>
          <w:szCs w:val="18"/>
          <w:lang w:val="en-GB"/>
        </w:rPr>
        <w:t xml:space="preserve">membrane used in the experiments was relatively thick (160 μm). The highest average </w:t>
      </w:r>
      <w:r w:rsidRPr="00A55AB5">
        <w:rPr>
          <w:rFonts w:cs="Arial"/>
          <w:szCs w:val="18"/>
          <w:lang w:val="en-GB"/>
        </w:rPr>
        <w:t>fl</w:t>
      </w:r>
      <w:r w:rsidRPr="00A55AB5">
        <w:rPr>
          <w:szCs w:val="18"/>
          <w:lang w:val="en-GB"/>
        </w:rPr>
        <w:t>ux of butanol was</w:t>
      </w:r>
      <w:r w:rsidR="005266BF" w:rsidRPr="00A55AB5">
        <w:rPr>
          <w:lang w:val="en-GB"/>
        </w:rPr>
        <w:t xml:space="preserve"> </w:t>
      </w:r>
      <w:r w:rsidR="00700671" w:rsidRPr="00A55AB5">
        <w:rPr>
          <w:szCs w:val="18"/>
          <w:lang w:val="en-GB"/>
        </w:rPr>
        <w:t>obtained when</w:t>
      </w:r>
      <w:r w:rsidR="005961EF" w:rsidRPr="00A55AB5">
        <w:rPr>
          <w:szCs w:val="18"/>
          <w:lang w:val="en-GB"/>
        </w:rPr>
        <w:t xml:space="preserve"> the temperature of the aqueous phase was 60</w:t>
      </w:r>
      <w:r w:rsidR="00FB7337" w:rsidRPr="00A55AB5">
        <w:rPr>
          <w:szCs w:val="18"/>
          <w:lang w:val="en-GB"/>
        </w:rPr>
        <w:t xml:space="preserve"> </w:t>
      </w:r>
      <w:r w:rsidR="005961EF" w:rsidRPr="00A55AB5">
        <w:rPr>
          <w:szCs w:val="18"/>
          <w:lang w:val="en-GB"/>
        </w:rPr>
        <w:t>°C and the temperature of the organic phase was  30</w:t>
      </w:r>
      <w:r w:rsidR="00FB7337" w:rsidRPr="00A55AB5">
        <w:rPr>
          <w:szCs w:val="18"/>
          <w:lang w:val="en-GB"/>
        </w:rPr>
        <w:t xml:space="preserve"> </w:t>
      </w:r>
      <w:r w:rsidR="005961EF" w:rsidRPr="00A55AB5">
        <w:rPr>
          <w:szCs w:val="18"/>
          <w:lang w:val="en-GB"/>
        </w:rPr>
        <w:t>°C</w:t>
      </w:r>
      <w:r w:rsidR="00BB5878" w:rsidRPr="00A55AB5">
        <w:rPr>
          <w:lang w:val="en-GB"/>
        </w:rPr>
        <w:t xml:space="preserve"> reaching a value of </w:t>
      </w:r>
      <w:r w:rsidR="00564596" w:rsidRPr="00A55AB5">
        <w:rPr>
          <w:lang w:val="en-GB"/>
        </w:rPr>
        <w:t xml:space="preserve">6.3 </w:t>
      </w:r>
      <m:oMath>
        <m:r>
          <w:rPr>
            <w:rFonts w:ascii="Cambria Math" w:hAnsi="Cambria Math"/>
            <w:lang w:val="en-GB"/>
          </w:rPr>
          <m:t>∙</m:t>
        </m:r>
      </m:oMath>
      <w:r w:rsidR="00FB7337" w:rsidRPr="00A55AB5">
        <w:rPr>
          <w:lang w:val="en-GB"/>
        </w:rPr>
        <w:t xml:space="preserve"> 10</w:t>
      </w:r>
      <w:r w:rsidR="00FB7337" w:rsidRPr="00A55AB5">
        <w:rPr>
          <w:vertAlign w:val="superscript"/>
          <w:lang w:val="en-GB"/>
        </w:rPr>
        <w:t xml:space="preserve">-3 </w:t>
      </w:r>
      <w:r w:rsidR="00BB5878" w:rsidRPr="00A55AB5">
        <w:rPr>
          <w:lang w:val="en-GB"/>
        </w:rPr>
        <w:t>kg h</w:t>
      </w:r>
      <w:r w:rsidR="00BB5878" w:rsidRPr="00A55AB5">
        <w:rPr>
          <w:vertAlign w:val="superscript"/>
          <w:lang w:val="en-GB"/>
        </w:rPr>
        <w:t>−1</w:t>
      </w:r>
      <w:r w:rsidR="00BB5878" w:rsidRPr="00A55AB5">
        <w:rPr>
          <w:lang w:val="en-GB"/>
        </w:rPr>
        <w:t xml:space="preserve"> m</w:t>
      </w:r>
      <w:r w:rsidR="00BB5878" w:rsidRPr="00A55AB5">
        <w:rPr>
          <w:vertAlign w:val="superscript"/>
          <w:lang w:val="en-GB"/>
        </w:rPr>
        <w:t>−2</w:t>
      </w:r>
      <w:r w:rsidR="005961EF" w:rsidRPr="00A55AB5">
        <w:rPr>
          <w:szCs w:val="18"/>
          <w:lang w:val="en-GB"/>
        </w:rPr>
        <w:t xml:space="preserve">, showing a butanol-water selectivity of 58.2, generated by the different sensitivity to temperature of the vapor pressure of both compounds. </w:t>
      </w:r>
      <w:r w:rsidR="00744095" w:rsidRPr="00A55AB5">
        <w:rPr>
          <w:szCs w:val="18"/>
          <w:lang w:val="en-GB"/>
        </w:rPr>
        <w:t>Finally,</w:t>
      </w:r>
      <w:r w:rsidR="005961EF" w:rsidRPr="00A55AB5">
        <w:rPr>
          <w:szCs w:val="18"/>
          <w:lang w:val="en-GB"/>
        </w:rPr>
        <w:t xml:space="preserve"> </w:t>
      </w:r>
      <w:r w:rsidR="00744095" w:rsidRPr="00A55AB5">
        <w:rPr>
          <w:szCs w:val="18"/>
          <w:lang w:val="en-GB"/>
        </w:rPr>
        <w:t>this</w:t>
      </w:r>
      <w:r w:rsidR="00586857" w:rsidRPr="00A55AB5">
        <w:rPr>
          <w:rStyle w:val="q4iawc"/>
          <w:lang w:val="en-GB"/>
        </w:rPr>
        <w:t xml:space="preserve"> disruption technique combined with ILs could allow the design of a wide range of separation processes for purify a wide variety of molecules.</w:t>
      </w:r>
      <w:r w:rsidR="00586857" w:rsidRPr="00A55AB5">
        <w:rPr>
          <w:rStyle w:val="viiyi"/>
          <w:lang w:val="en-GB"/>
        </w:rPr>
        <w:t xml:space="preserve"> </w:t>
      </w:r>
      <w:r w:rsidR="00586857" w:rsidRPr="00A55AB5">
        <w:rPr>
          <w:rStyle w:val="q4iawc"/>
          <w:lang w:val="en-GB"/>
        </w:rPr>
        <w:t>In addition to this, the per</w:t>
      </w:r>
      <w:r w:rsidR="00744095" w:rsidRPr="00A55AB5">
        <w:rPr>
          <w:rStyle w:val="q4iawc"/>
          <w:lang w:val="en-GB"/>
        </w:rPr>
        <w:t>s</w:t>
      </w:r>
      <w:r w:rsidR="00586857" w:rsidRPr="00A55AB5">
        <w:rPr>
          <w:rStyle w:val="q4iawc"/>
          <w:lang w:val="en-GB"/>
        </w:rPr>
        <w:t xml:space="preserve">traction process could be considered as a good alternative </w:t>
      </w:r>
      <w:r w:rsidR="009C582E" w:rsidRPr="00A55AB5">
        <w:rPr>
          <w:rStyle w:val="q4iawc"/>
          <w:lang w:val="en-GB"/>
        </w:rPr>
        <w:t>f</w:t>
      </w:r>
      <w:r w:rsidR="00586857" w:rsidRPr="00A55AB5">
        <w:rPr>
          <w:rStyle w:val="q4iawc"/>
          <w:lang w:val="en-GB"/>
        </w:rPr>
        <w:t>or the selective separation of fermentation or reaction products with high commercial value.</w:t>
      </w:r>
    </w:p>
    <w:p w14:paraId="45EA8D0F" w14:textId="7C053054" w:rsidR="00363A5A" w:rsidRPr="00A55AB5" w:rsidRDefault="006B75B5" w:rsidP="006B75B5">
      <w:pPr>
        <w:pStyle w:val="CETHeading1"/>
        <w:rPr>
          <w:lang w:val="en-GB"/>
        </w:rPr>
      </w:pPr>
      <w:r w:rsidRPr="00A55AB5">
        <w:rPr>
          <w:lang w:val="en-GB"/>
        </w:rPr>
        <w:t>Introduction</w:t>
      </w:r>
    </w:p>
    <w:p w14:paraId="5F7DDE18" w14:textId="3C8D28DD" w:rsidR="009C582E" w:rsidRPr="00716362" w:rsidRDefault="002C682E" w:rsidP="009C582E">
      <w:pPr>
        <w:rPr>
          <w:lang w:val="en-US"/>
        </w:rPr>
      </w:pPr>
      <w:r w:rsidRPr="005664BA">
        <w:t xml:space="preserve">Several types </w:t>
      </w:r>
      <w:r w:rsidRPr="00A55AB5">
        <w:t xml:space="preserve">of microbial processes were developed before the First World War, </w:t>
      </w:r>
      <w:r w:rsidR="00A55AB5" w:rsidRPr="00A55AB5">
        <w:t>to</w:t>
      </w:r>
      <w:r w:rsidRPr="00A55AB5">
        <w:t xml:space="preserve"> obtain butadiene and acetone. One of the first process was the so-called ABE fermentation. This process uses </w:t>
      </w:r>
      <w:r w:rsidR="00AC15DD" w:rsidRPr="00A55AB5">
        <w:rPr>
          <w:i/>
          <w:iCs/>
        </w:rPr>
        <w:t>clostridium</w:t>
      </w:r>
      <w:r w:rsidR="00AC15DD" w:rsidRPr="00A55AB5">
        <w:t xml:space="preserve"> bacteria</w:t>
      </w:r>
      <w:r w:rsidRPr="00A55AB5">
        <w:t xml:space="preserve"> and starch among other types of biomasses as raw material</w:t>
      </w:r>
      <w:r w:rsidR="00EA2308" w:rsidRPr="00A55AB5">
        <w:t xml:space="preserve"> to produce volatile organic compounds </w:t>
      </w:r>
      <w:r w:rsidR="006C14B7" w:rsidRPr="00A55AB5">
        <w:fldChar w:fldCharType="begin" w:fldLock="1"/>
      </w:r>
      <w:r w:rsidR="006C14B7" w:rsidRPr="00A55AB5">
        <w:instrText>ADDIN CSL_CITATION {"citationItems":[{"id":"ITEM-1","itemData":{"DOI":"10.3303/CET2186010","ISBN":"978-88-95608-84-6","ISSN":"2283-9216","abstract":"Biorefinery represents an innovative approach for waste management, where products at the end of their service life are seen as valuable resources for the production of high added value bio-products or bio-fuels. In this context, acidogenic fermentation is gaining scientific and commercial interest, since it allows to improve waste/wastewater treatability as well as additional recovery of volatile fatty acids (VFA), the building blocks for the chemical industry or precursors of reduced chemicals in conventional organic chemistry. This work illustrates the results of a study aimed at highlighting the effects of different inputs (feedstock composition and pre-treatment; temperature) on process performance and safety. The fermentation process was applied on a mixture of food waste and sewage sludge (FWs-SS) within the contest of Treviso municipality (northeast Italy). The VFA production and relative ratio respect to soluble chemical oxygen demand (COD SOL) were evaluated, as well as the variation of lower flammability limit (LFL) of flammable gaseous mixture, produced during the acidogenic fermentation. Thermal pre-treatment (72°C, 48 h) enhanced the solubilization of the organic matter, which was converted into VFA in batch mode under mesophilic conditions (37°C). The VFA level increased up to 30 ± 3 g COD/L, with high COD VFA /COD SOL ratio (0.86 ± 0.05). This condition was also characterized by the lowest level in volumetric percentage of flammable gases such as H 2 , CH 4 and H 2 S. Variation of LFL of gaseous mixture as function of fermenter operating parameters has been investigated by Le Chatelier's Law. The high concentration of CO 2 (greater than 80% v/v) increased the LFL and therefore the flammable mixture was considered poorly hazardous. In practice, the variation of fermenter operating parameters to the final optimized protocol caused a continuous LFL growth, up to 29.3%, corresponding to a safer operation of fermentation reactor.","author":[{"dropping-particle":"","family":"Lauri","given":"R","non-dropping-particle":"","parse-names":false,"suffix":""},{"dropping-particle":"","family":"Tayou","given":"Nguemna","non-dropping-particle":"","parse-names":false,"suffix":""},{"dropping-particle":"","family":"Pavan","given":"L","non-dropping-particle":"","parse-names":false,"suffix":""},{"dropping-particle":"","family":"Majone","given":"P","non-dropping-particle":"","parse-names":false,"suffix":""},{"dropping-particle":"","family":"Pietrangeli","given":"M","non-dropping-particle":"","parse-names":false,"suffix":""},{"dropping-particle":"","family":"Valentino","given":"B","non-dropping-particle":"","parse-names":false,"suffix":""}],"container-title":"Chemical Engineering Transactions","id":"ITEM-1","issued":{"date-parts":[["2021"]]},"page":"55-60","title":"Acidogenic Fermentation of Urban Organic Waste: Effect of Operating Parameters on Process Performance and Safety","type":"article-journal","volume":"86"},"uris":["http://www.mendeley.com/documents/?uuid=2b4d54cb-91b0-3c26-b029-d1d0813d2eef"]}],"mendeley":{"formattedCitation":"(Lauri et al., 2021)","plainTextFormattedCitation":"(Lauri et al., 2021)","previouslyFormattedCitation":"(Lauri et al., 2021)"},"properties":{"noteIndex":0},"schema":"https://github.com/citation-style-language/schema/raw/master/csl-citation.json"}</w:instrText>
      </w:r>
      <w:r w:rsidR="006C14B7" w:rsidRPr="00A55AB5">
        <w:fldChar w:fldCharType="separate"/>
      </w:r>
      <w:r w:rsidR="006C14B7" w:rsidRPr="00A55AB5">
        <w:rPr>
          <w:noProof/>
        </w:rPr>
        <w:t>(Lauri et al., 2021)</w:t>
      </w:r>
      <w:r w:rsidR="006C14B7" w:rsidRPr="00A55AB5">
        <w:fldChar w:fldCharType="end"/>
      </w:r>
      <w:r w:rsidRPr="00A55AB5">
        <w:t>. This fermentation produces the acetone/butanol/ethanol compounds in an</w:t>
      </w:r>
      <w:r w:rsidRPr="005664BA">
        <w:t xml:space="preserve"> approximate ratio of 3:6:1 respectively </w:t>
      </w:r>
      <w:r w:rsidR="006C14B7">
        <w:fldChar w:fldCharType="begin" w:fldLock="1"/>
      </w:r>
      <w:r w:rsidR="009475DE">
        <w:instrText>ADDIN CSL_CITATION {"citationItems":[{"id":"ITEM-1","itemData":{"DOI":"10.1016/j.seppur.2020.117101","ISSN":"18733794","abstract":"Making economically competitive technologies for using biofuels as alternatives to move towards a low carbon economy has recently increased the interest of researchers and industry. Biobutanol has a good potential due to its attractive physicochemical properties. It can be produced through the ABE process (acetone–butanol–ethanol) by Clostridium bacteria. However, severe product inhibition, leading to low productivity and low final concentration in the broth, the butanol toxicity to the microorganisms and the high energy consumption are still the main challenges. Pervaporation (PV) is proposed as an efficient alternative to the current separation methods. In PV, the properties of the membrane material dictate the separation of the process for the recovery of butanol. Different polymers and additives are being studied for different membrane characteristics. This work focuses on the fabrication of composite membranes with different polymer/ionic liquid (PEBA/HMImFAP) compositions by the temperature-induced phase-inversion technique (TIPS) to be used in a PV unit to recover butanol from ABE synthetic mixtures. Modeling of mass transfer through the membrane using the resistances-in-series approach was used to find the liquid and membrane resistances. It was seen that the overall resistance decreases as the flow rate increases; regarding the liquid side resistance, it becomes important at smaller flow rates and is almost negligible for flowrates above 4.5 L min−1. The resistance that exerted the composite polymeric membrane followed this trend acetone &gt; water &gt; ethanol &gt; butanol. Increasing the IL content favours the selective separation towards butanol because of the smaller membrane resistance. Also, adding IL to the membrane at concentration above 20% leads to a worse separation of the components (in terms of separation factor) because of the formation of defects in the polymeric matrix allowing the water to pass through. Finally, running PV experiments under the same operating conditions allowed the compa</w:instrText>
      </w:r>
      <w:r w:rsidR="009475DE" w:rsidRPr="00716362">
        <w:rPr>
          <w:lang w:val="en-US"/>
        </w:rPr>
        <w:instrText>rison of the PSI of the self-made membranes with a commercial membrane, concluding a better performance of the former membranes.","author":[{"dropping-particle":"","family":"Arregoitia-Sarabia","given":"Carla","non-dropping-particle":"","parse-names":false,"suffix":""},{"dropping-particle":"","family":"González-Revuelta","given":"Daniel","non-dropping-particle":"","parse-names":false,"suffix":""},{"dropping-particle":"","family":"Fallanza","given":"Marcos","non-dropping-particle":"","parse-names":false,"suffix":""},{"dropping-particle":"","family":"Gorri","given":"Daniel","non-dropping-particle":"","parse-names":false,"suffix":""},{"dropping-particle":"","family":"Ortiz","given":"Inmaculada","non-dropping-particle":"","parse-names":false,"suffix":""}],"container-title":"Separation and Purification Technology","id":"ITEM-1","issue":"February","issued":{"date-parts":[["2020"]]},"page":"117101","publisher":"Elsevier","title":"Polymer inclusion membranes containing ionic liquids for the recovery of n-butanol from ABE solutions by pervaporation","type":"article","volume":"248"},"uris":["http://www.mendeley.com/documents/?uuid=6cc9ebac-554a-41d6-9c4d-4f1073bc3910"]}],"mendeley":{"formattedCitation":"(Arregoitia-Sarabia et al., 2020)","plainTextFormattedCitation":"(Arregoitia-Sarabia et al., 2020)","previouslyFormattedCitation":"(Arregoitia-Sarabia et al., 2020)"},"properties":{"noteIndex":0},"schema":"https://github.com/citation-style-language/schema/raw/master/csl-citation.json"}</w:instrText>
      </w:r>
      <w:r w:rsidR="006C14B7">
        <w:fldChar w:fldCharType="separate"/>
      </w:r>
      <w:r w:rsidR="006C14B7" w:rsidRPr="00716362">
        <w:rPr>
          <w:noProof/>
          <w:lang w:val="en-US"/>
        </w:rPr>
        <w:t>(Arregoitia-Sarabia et al., 2020)</w:t>
      </w:r>
      <w:r w:rsidR="006C14B7">
        <w:fldChar w:fldCharType="end"/>
      </w:r>
      <w:r w:rsidR="005D262E" w:rsidRPr="00716362">
        <w:rPr>
          <w:lang w:val="en-US"/>
        </w:rPr>
        <w:t xml:space="preserve">, </w:t>
      </w:r>
    </w:p>
    <w:p w14:paraId="365C1492" w14:textId="78B77A42" w:rsidR="002C682E" w:rsidRPr="005664BA" w:rsidRDefault="009C582E" w:rsidP="009C582E">
      <w:r w:rsidRPr="00DA0CB3">
        <w:rPr>
          <w:lang w:val="en-US"/>
        </w:rPr>
        <w:t>With typical concentrations of 6,000, 12,000, 2,000 ppm for acetone, butanol and ethanol, respectively</w:t>
      </w:r>
      <w:r>
        <w:rPr>
          <w:lang w:val="en-US"/>
        </w:rPr>
        <w:t>.</w:t>
      </w:r>
      <w:r w:rsidRPr="00DA0CB3">
        <w:rPr>
          <w:lang w:val="en-US"/>
        </w:rPr>
        <w:t xml:space="preserve"> </w:t>
      </w:r>
      <w:r>
        <w:rPr>
          <w:lang w:val="en-US"/>
        </w:rPr>
        <w:t>I</w:t>
      </w:r>
      <w:r w:rsidRPr="00DA0CB3">
        <w:rPr>
          <w:lang w:val="en-US"/>
        </w:rPr>
        <w:t>n general, a maximum concentration of butanol</w:t>
      </w:r>
      <w:r>
        <w:rPr>
          <w:lang w:val="en-US"/>
        </w:rPr>
        <w:t xml:space="preserve"> is reported at </w:t>
      </w:r>
      <w:r w:rsidRPr="00DA0CB3">
        <w:rPr>
          <w:lang w:val="en-US"/>
        </w:rPr>
        <w:t xml:space="preserve">13,000 ppm for the </w:t>
      </w:r>
      <w:r w:rsidRPr="00DA0CB3">
        <w:rPr>
          <w:i/>
          <w:iCs/>
          <w:lang w:val="en-US"/>
        </w:rPr>
        <w:t>Clostridium acetobutilicum</w:t>
      </w:r>
      <w:r w:rsidRPr="00DA0CB3">
        <w:rPr>
          <w:lang w:val="en-US"/>
        </w:rPr>
        <w:t xml:space="preserve"> strain, since concentration </w:t>
      </w:r>
      <w:r>
        <w:rPr>
          <w:lang w:val="en-US"/>
        </w:rPr>
        <w:t>of</w:t>
      </w:r>
      <w:r w:rsidRPr="00DA0CB3">
        <w:rPr>
          <w:lang w:val="en-US"/>
        </w:rPr>
        <w:t xml:space="preserve"> butanol </w:t>
      </w:r>
      <w:r>
        <w:rPr>
          <w:lang w:val="en-US"/>
        </w:rPr>
        <w:t xml:space="preserve">above that number </w:t>
      </w:r>
      <w:r w:rsidRPr="00DA0CB3">
        <w:rPr>
          <w:lang w:val="en-US"/>
        </w:rPr>
        <w:t>inhibit</w:t>
      </w:r>
      <w:r>
        <w:rPr>
          <w:lang w:val="en-US"/>
        </w:rPr>
        <w:t>s</w:t>
      </w:r>
      <w:r w:rsidRPr="00DA0CB3">
        <w:rPr>
          <w:lang w:val="en-US"/>
        </w:rPr>
        <w:t xml:space="preserve"> the</w:t>
      </w:r>
      <w:r>
        <w:rPr>
          <w:lang w:val="en-US"/>
        </w:rPr>
        <w:t xml:space="preserve"> fermentation</w:t>
      </w:r>
      <w:r w:rsidRPr="00DA0CB3">
        <w:rPr>
          <w:lang w:val="en-US"/>
        </w:rPr>
        <w:t xml:space="preserve"> process. </w:t>
      </w:r>
      <w:r w:rsidR="009475DE">
        <w:fldChar w:fldCharType="begin" w:fldLock="1"/>
      </w:r>
      <w:r w:rsidR="00B42678" w:rsidRPr="00DA0CB3">
        <w:rPr>
          <w:lang w:val="en-US"/>
        </w:rPr>
        <w:instrText>ADDIN CSL_CITATION {"citationItems":[{"id":"ITEM-1","itemData":{"DOI":"10.1016/j.cep.2015.04.003","ISBN":"0255-2701","ISSN":"02552701","abstract":"This work is focused on the application of membrane-based supercritical fluid extraction for the removal of fermentation products from an ABE (acetone/butanol/ethanol) mixture. The extraction process was implemented in a hollow fiber contactor where the liquid fed was circulated in the lumenside. Meanwhile, the extraction phase was dense carbon dioxide, circulated through the shell.A model solution, containing the three representative products of ABE fermentation broths was fed to the single PTFE fiber contactor with flow rates varying from 0.1 to 1.5mLmin&lt;sup&gt;-1&lt;/sup&gt;. Dense CO&lt;inf&gt;2&lt;/inf&gt; with pressures between 7.0 and 9.0MPa at 40°C was circulated in countercurrent configuration.Experimental extraction percentages reached 70%, 50% and 27% for acetone, butanol and ethanol, respectively, in a single extraction step. When pressure was 9.0MPa and liquid feed flow rate was higher than 0.5mLmin&lt;sup&gt;-1&lt;/sup&gt;, the extraction percentage of solutes and its transmembrane fluxes showed an unexpected decreasing, which was des</w:instrText>
      </w:r>
      <w:r w:rsidR="00B42678">
        <w:instrText>cribed by means of a phenomenological transfer model with variable membrane wettability. Thus, it has been demonstrated that the higher flow rates and pressure values can involve instability of the interface formed at the pore entrance and the liquid feed solution can penetrates into the membrane pores.","author":[{"dropping-particle":"","family":"Cabezas","given":"R.","non-dropping-particle":"","parse-names":false,"suffix":""},{"dropping-particle":"","family":"Plaza","given":"A.","non-dropping-particle":"","parse-names":false,"suffix":""},{"dropping-particle":"","family":"Merlet","given":"G.","non-dropping-particle":"","parse-names":false,"suffix":""},{"dropping-particle":"","family":"Romero","given":"J.","non-dropping-particle":"","parse-names":false,"suffix":""}],"container-title":"Chemical Engineering and Processing: Process Intensification","id":"ITEM-1","issued":{"date-parts":[["2015","9","1"]]},"page":"80-89","publisher":"Elsevier B.V.","title":"Effect of fluid dynamic conditions on the recovery of ABE fermentation products by membrane-based dense gas extraction","type":"article-journal","volume":"95"},"uris":["http://www.mendeley.com/documents/?uuid=f2a6c3d1-c003-4740-86b4-d223878e9155"]}],"mendeley":{"formattedCitation":"(Cabezas et al., 2015)","plainTextFormattedCitation":"(Cabezas et al., 2015)","previouslyFormattedCitation":"(Cabezas et al., 2015)"},"properties":{"noteIndex":0},"schema":"https://github.com/citation-style-language/schema/raw/master/csl-citation.json"}</w:instrText>
      </w:r>
      <w:r w:rsidR="009475DE">
        <w:fldChar w:fldCharType="separate"/>
      </w:r>
      <w:r w:rsidR="009475DE" w:rsidRPr="009475DE">
        <w:rPr>
          <w:noProof/>
        </w:rPr>
        <w:t>(Cabezas et al., 2015)</w:t>
      </w:r>
      <w:r w:rsidR="009475DE">
        <w:fldChar w:fldCharType="end"/>
      </w:r>
      <w:r w:rsidR="009475DE">
        <w:t>.</w:t>
      </w:r>
    </w:p>
    <w:p w14:paraId="1C1FF616" w14:textId="31DA3176" w:rsidR="000D3751" w:rsidRPr="00A55AB5" w:rsidRDefault="002C682E" w:rsidP="006B75B5">
      <w:r w:rsidRPr="005664BA">
        <w:t xml:space="preserve">Currently, this fermentation has gained new importance due to the production of biobutanol, which is a biofuel with a higher energy density than the </w:t>
      </w:r>
      <w:r w:rsidR="00AC15DD" w:rsidRPr="005664BA">
        <w:t>gasoline</w:t>
      </w:r>
      <w:r w:rsidRPr="005664BA">
        <w:t xml:space="preserve">-ethanol mixtures and, it has a lower vapor pressure and a greater </w:t>
      </w:r>
      <w:r w:rsidRPr="00A55AB5">
        <w:t xml:space="preserve">tolerance to water contamination when mixed with </w:t>
      </w:r>
      <w:r w:rsidR="00AC15DD" w:rsidRPr="00A55AB5">
        <w:t>gasoline</w:t>
      </w:r>
      <w:r w:rsidRPr="00A55AB5">
        <w:t xml:space="preserve"> </w:t>
      </w:r>
      <w:r w:rsidR="00B42678" w:rsidRPr="00A55AB5">
        <w:fldChar w:fldCharType="begin" w:fldLock="1"/>
      </w:r>
      <w:r w:rsidR="00BF0903" w:rsidRPr="00A55AB5">
        <w:instrText>ADDIN CSL_CITATION {"citationItems":[{"id":"ITEM-1","itemData":{"DOI":"https://doi.org/10.1016/j.cep.2019.107737","ISSN":"0255-2701","abstract":"Butanol is an alternative fuel with characteristics competitive to petroleum-based fuels. Compared with ethanol, butanol shows less miscibility, flammability, and corrosion; while potentially replacing gasoline in car engines without modifications. However, the production cost of butanol from renewables feedstock, i.e. bio-butanol (which also contains acetone and ethanol) through fermentation remains high. This is mainly due to the low yield of butanol in fermentation. The conventional recovery of butanol by distillation is an energy-intensive operation that has greatly restricted the industrial production of bio-butanol. This work studies ten hybrid and intensified configurations, based on the liquid-liquid extraction and dividing wall columns, to purify the butanol to the fuel grade. The study analyzes sustainability based on green metrics, including the inherent safety and control properties using singular value decomposition analysis. The results indicate that as long as the process is highly intensified, the sustainability and the inherent safety are improved and not necessarily the control properties. This is primarily due to the loss in the degrees of freedom in intensified processes.","author":[{"dropping-particle":"","family":"Segovia-Hernández","given":"Juan Gabriel","non-dropping-particle":"","parse-names":false,"suffix":""},{"dropping-particle":"","family":"Sánchez-Ramírez","given":"Eduardo","non-dropping-particle":"","parse-names":false,"suffix":""},{"dropping-particle":"","family":"Alcocer-García","given":"Heriberto","non-dropping-particle":"","parse-names":false,"suffix":""},{"dropping-particle":"","family":"Quíroz-Ramírez","given":"Juan José","non-dropping-particle":"","parse-names":false,"suffix":""},{"dropping-particle":"","family":"Udugama","given":"Isuru A","non-dropping-particle":"","parse-names":false,"suffix":""},{"dropping-particle":"","family":"Mansouri","given":"Seyed Soheil","non-dropping-particle":"","parse-names":false,"suffix":""}],"container-title":"Chemical Engineering and Processing - Process Intensification","id":"ITEM-1","issued":{"date-parts":[["2020"]]},"page":"107737","title":"Analysis of intensified sustainable schemes for biobutanol purification","type":"article-journal","volume":"147"},"uris":["http://www.mendeley.com/documents/?uuid=8419ccf1-5b44-45d6-83b2-be83a104caa4"]}],"mendeley":{"formattedCitation":"(Segovia-Hernández et al., 2020)","plainTextFormattedCitation":"(Segovia-Hernández et al., 2020)","previouslyFormattedCitation":"(Segovia-Hernández et al., 2020)"},"properties":{"noteIndex":0},"schema":"https://github.com/citation-style-language/schema/raw/master/csl-citation.json"}</w:instrText>
      </w:r>
      <w:r w:rsidR="00B42678" w:rsidRPr="00A55AB5">
        <w:fldChar w:fldCharType="separate"/>
      </w:r>
      <w:r w:rsidR="00B42678" w:rsidRPr="00A55AB5">
        <w:rPr>
          <w:noProof/>
        </w:rPr>
        <w:t>(Segovia-Hernández et al., 2020)</w:t>
      </w:r>
      <w:r w:rsidR="00B42678" w:rsidRPr="00A55AB5">
        <w:fldChar w:fldCharType="end"/>
      </w:r>
      <w:r w:rsidRPr="00A55AB5">
        <w:t>.</w:t>
      </w:r>
    </w:p>
    <w:p w14:paraId="1A2B0E83" w14:textId="49E67DB9" w:rsidR="00BB5878" w:rsidRPr="005664BA" w:rsidRDefault="00BB5878" w:rsidP="00BB5878">
      <w:r w:rsidRPr="00A55AB5">
        <w:t>Butanol is getting attention among the possible biofuels as an alternative to bioethanol. Compared to bioethanol, biobutanol shows less miscibility with water, less flammability and corrosivity, and it has the advantage of being able to directly replace gasoline in the car engines without any modifications</w:t>
      </w:r>
      <w:r w:rsidR="0098371E" w:rsidRPr="00A55AB5">
        <w:t xml:space="preserve"> </w:t>
      </w:r>
      <w:r w:rsidR="00BF0903" w:rsidRPr="00A55AB5">
        <w:fldChar w:fldCharType="begin" w:fldLock="1"/>
      </w:r>
      <w:r w:rsidR="004B4AEE" w:rsidRPr="00A55AB5">
        <w:instrText>ADDIN CSL_CITATION {"citationItems":[{"id":"ITEM-1","itemData":{"DOI":"10.3303/CET2186171","ISBN":"978-88-95608-84-6","ISSN":"2283-9216","abstract":"Butanol is getting attention among the possible biofuels as an alternative to bioethanol. Compared to bioethanol, biobutanol shows less miscibility with water, less flammability and corrosivity, and it has the advantage of being able to directly replace gasoline in the car engines without any modifications. However, the production cost from the Acetone-Butanol-Ethanol (ABE) fermentation process remains high, mainly due to the low yield of butanol. The conventional recovery of butanol by distillation is a process of high energy consumption that has greatly restricted its industrial production. In this work different hybrid configurations, based on liquid-liquid extraction and dividing wall columns were examined. Sustainability was analysed based on green metrics, inherent security, and control properties through open and closed-loop policy using PI controllers. The results indicate that as long as the process is highly intensified, the sustainability and the inherent safety are improved but not necessarily the control properties. The best alternative was selected as a compromise between contrasting objective functions.","author":[{"dropping-particle":"","family":"Segovia-Hernandez","given":"Juan Gabriel","non-dropping-particle":"","parse-names":false,"suffix":""},{"dropping-particle":"","family":"Sánchez-Ramírez","given":"Eduardo","non-dropping-particle":"","parse-names":false,"suffix":""},{"dropping-particle":"","family":"Flores-Cordero","given":"Ernesto","non-dropping-particle":"","parse-names":false,"suffix":""},{"dropping-particle":"","family":"Quíroz-Ramírez","given":"Juan José","non-dropping-particle":"","parse-names":false,"suffix":""},{"dropping-particle":"","family":"Errico","given":"Massimiliano","non-dropping-particle":"","parse-names":false,"suffix":""}],"container-title":"Chemical Engineering Transactions","id":"ITEM-1","issued":{"date-parts":[["2021","6","15"]]},"page":"1021-1026","publisher":"Italian Association of Chemical Engineering - AIDIC","title":"Safety and Control Analysis of Hybrid Liquid-liquid Extraction and Divided Wall Column for Biobutanol Purification","type":"article-journal","volume":"86"},"uris":["http://www.mendeley.com/documents/?uuid=cedc1f81-203b-3072-9ce5-ebac1e33999c"]}],"mendeley":{"formattedCitation":"(Segovia-Hernandez et al., 2021)","plainTextFormattedCitation":"(Segovia-Hernandez et al., 2021)","previouslyFormattedCitation":"(Segovia-Hernandez et al., 2021)"},"properties":{"noteIndex":0},"schema":"https://github.com/citation-style-language/schema/raw/master/csl-citation.json"}</w:instrText>
      </w:r>
      <w:r w:rsidR="00BF0903" w:rsidRPr="00A55AB5">
        <w:fldChar w:fldCharType="separate"/>
      </w:r>
      <w:r w:rsidR="00BF0903" w:rsidRPr="00A55AB5">
        <w:rPr>
          <w:noProof/>
        </w:rPr>
        <w:t>(Segovia-Hernandez et al., 2021)</w:t>
      </w:r>
      <w:r w:rsidR="00BF0903" w:rsidRPr="00A55AB5">
        <w:fldChar w:fldCharType="end"/>
      </w:r>
      <w:r w:rsidR="00BF0903" w:rsidRPr="00A55AB5">
        <w:t>.</w:t>
      </w:r>
    </w:p>
    <w:p w14:paraId="08420D7A" w14:textId="6EBF5CE9" w:rsidR="000D3751" w:rsidRPr="00DA0CB3" w:rsidRDefault="000D3751" w:rsidP="006B75B5">
      <w:r w:rsidRPr="005664BA">
        <w:t xml:space="preserve">There </w:t>
      </w:r>
      <w:r w:rsidR="00F772A6" w:rsidRPr="005664BA">
        <w:t>are</w:t>
      </w:r>
      <w:r w:rsidRPr="005664BA">
        <w:t xml:space="preserve"> </w:t>
      </w:r>
      <w:r w:rsidR="000D46FC" w:rsidRPr="005664BA">
        <w:t xml:space="preserve">several </w:t>
      </w:r>
      <w:r w:rsidRPr="005664BA">
        <w:t>separation technologies to recover alcohols from fermentation broths such as adsorption</w:t>
      </w:r>
      <w:r w:rsidR="00ED76D0" w:rsidRPr="005664BA">
        <w:fldChar w:fldCharType="begin" w:fldLock="1"/>
      </w:r>
      <w:r w:rsidR="006C14B7">
        <w:instrText xml:space="preserve">ADDIN CSL_CITATION {"citationItems":[{"id":"ITEM-1","itemData":{"DOI":"10.1016/J.CATTOD.2020.07.048","ISSN":"0920-5861","abstract":"A series of palladium (2 wt.%) catalysts supported on silica (301 m2/g) and loaded with increasing amount of gallium – ratio of Ga/Pd = 2, 4 and 8 atom/atom – were investigated for CO2 hydrogenation to methanol. The turnover frequency to methanol (H2/CO2 = 3; 523 K, 3 MPa), based on surface palladium, showed a 200-fold enhancement as compared to the monometallic Pd/SiO2 catalyst. Additionally, the apparent activation energy for methanol synthesis decreased from 60 kJ/mol on Pd/SiO2 to </w:instrText>
      </w:r>
      <w:r w:rsidR="006C14B7">
        <w:rPr>
          <w:rFonts w:ascii="Cambria Math" w:hAnsi="Cambria Math" w:cs="Cambria Math"/>
        </w:rPr>
        <w:instrText>∼</w:instrText>
      </w:r>
      <w:r w:rsidR="006C14B7">
        <w:instrText>40 kJ/mol on the supported Ga-Pd catalysts. Characterization of the Pd-Ga catalyst series by X-ray absorption spectroscopy and high resolution transmission electron microscopy indicates the formation of Pd2Ga bimetallic nanoparticles partially covered by a thin layer of Ga2O3 on the silica surface. In situ infrared spectroscopy was employed to examine the reaction mechanism during the CO2 adsorption and hydrogenation at 0.7 MPa. It is proposed a bifunctional pathway where the carbonaceous species bound to the gallium oxide surface are hydrogenated, stepwise, to formate and methoxy groups by atomic hydrogen, which spillovers from the Pd-Ga bimetallic nanoparticles.","author":[{"dropping-particle":"","family":"Collins","given":"Sebastián E.","non-dropping-particle":"","parse-names":false,"suffix":""},{"dropping-particle":"","family":"Baltanás","given":"Miguel A.","non-dropping-particle":"","parse-names":false,"suffix":""},{"dropping-particle":"","family":"Delgado","given":"Juan José","non-dropping-particle":"","parse-names":false,"suffix":""},{"dropping-particle":"","family":"Borgna","given":"Armando","non-dropping-particle":"","parse-names":false,"suffix":""},{"dropping-particle":"","family":"Bonivardi","given":"Adrian L.","non-dropping-particle":"","parse-names":false,"suffix":""}],"container-title":"Catalysis Today","id":"ITEM-1","issued":{"date-parts":[["2020","7"]]},"publisher":"Elsevier","title":"CO2 hydrogenation to methanol on Ga2O3-Pd/SiO2 catalysts: Dual oxide-metal sites or (bi)metallic surface sites?","type":"article-journal"},"uris":["http://www.mendeley.com/documents/?uuid=12253b24-d525-4f48-aa42-df3effb736cc"]}],"mendeley":{"formattedCitation":"(Collins et al., 2020)","plainTextFormattedCitation":"(Collins et al., 2020)","previouslyFormattedCitation":"(Collins et al., 2020)"},"properties":{"noteIndex":0},"schema":"https://github.com/citation-style-language/schema/raw/master/csl-citation.json"}</w:instrText>
      </w:r>
      <w:r w:rsidR="00ED76D0" w:rsidRPr="005664BA">
        <w:fldChar w:fldCharType="separate"/>
      </w:r>
      <w:r w:rsidR="00864D9F" w:rsidRPr="00864D9F">
        <w:rPr>
          <w:noProof/>
        </w:rPr>
        <w:t>(Collins et al., 2020)</w:t>
      </w:r>
      <w:r w:rsidR="00ED76D0" w:rsidRPr="005664BA">
        <w:fldChar w:fldCharType="end"/>
      </w:r>
      <w:r w:rsidRPr="005664BA">
        <w:t>, membrane distillation</w:t>
      </w:r>
      <w:r w:rsidR="00ED76D0" w:rsidRPr="005664BA">
        <w:fldChar w:fldCharType="begin" w:fldLock="1"/>
      </w:r>
      <w:r w:rsidR="006C14B7">
        <w:instrText>ADDIN CSL_CITATION {"citationItems":[{"id":"ITEM-1","itemData":{"DOI":"10.1016/j.memsci.2008.09.024","ISBN":"03767388","author":[{"dropping-particle":"","family":"Diban","given":"Nazely","non-dropping-particle":"","parse-names":false,"suffix":""},{"dropping-particle":"","family":"Voinea","given":"Oana Cristina","non-dropping-particle":"","parse-names":false,"suffix":""},{"dropping-particle":"","family":"Urtiaga","given":"Ane","non-dropping-particle":"","parse-names":false,"suffix":""},{"dropping-particle":"","family":"Ortiz","given":"Inmaculada","non-dropping-particle":"","parse-names":false,"suffix":""}],"chapter-number":"64","container-title":"Journal of Membrane Science","id":"ITEM-1","issue":"1","issued":{"date-parts":[["2009"]]},"page":"64-75","title":"Vacuum membrane distillation of the main pear aroma compound: Experimental study and mass transfer modeling","type":"article-journal","volume":"326"},"uris":["http://www.mendeley.com/documents/?uuid=721c878f-b26e-4194-9a78-079836ef4960"]}],"mendeley":{"formattedCitation":"(Diban et al., 2009)","plainTextFormattedCitation":"(Diban et al., 2009)","previouslyFormattedCitation":"(Diban et al., 2009)"},"properties":{"noteIndex":0},"schema":"https://github.com/citation-style-language/schema/raw/master/csl-citation.json"}</w:instrText>
      </w:r>
      <w:r w:rsidR="00ED76D0" w:rsidRPr="005664BA">
        <w:fldChar w:fldCharType="separate"/>
      </w:r>
      <w:r w:rsidR="00864D9F" w:rsidRPr="00864D9F">
        <w:rPr>
          <w:noProof/>
        </w:rPr>
        <w:t>(Diban et al., 2009)</w:t>
      </w:r>
      <w:r w:rsidR="00ED76D0" w:rsidRPr="005664BA">
        <w:fldChar w:fldCharType="end"/>
      </w:r>
      <w:r w:rsidRPr="005664BA">
        <w:t xml:space="preserve">, vacuum flash distillation, gas </w:t>
      </w:r>
      <w:r w:rsidRPr="005664BA">
        <w:lastRenderedPageBreak/>
        <w:t>stripping</w:t>
      </w:r>
      <w:r w:rsidR="00ED76D0" w:rsidRPr="005664BA">
        <w:fldChar w:fldCharType="begin" w:fldLock="1"/>
      </w:r>
      <w:r w:rsidR="006C14B7">
        <w:instrText>ADDIN CSL_CITATION {"citationItems":[{"id":"ITEM-1","itemData":{"DOI":"https://doi.org/10.1016/j.seppur.2019.03.002","ISSN":"1383-5866","abstract":"Distillation processes for separation of biphasic ABE solution from in situ gas stripping were developed. The distillation sequences were investigated and optimized. Results proved the energy requirement of distillation was effectively reduced when feeding the biphasic ABE mixture. After techno-economic analysis, a superior scenario that started with a decanter followed with side-by-side sequences for separation acetone and ethanol was selected. Compared with the conventional processes that detractively concentrate the biphasic ABE mixture, energy requirement and total annual cost (TAC) of the novel distillation process were decreased by 25.8% and 17.4%, respectively. $ 4102.98 K per year of TAC was estimated in a case with a capacity of 30 K tons of butanol per year.","author":[{"dropping-particle":"","family":"Chen","given":"Huidong","non-dropping-particle":"","parse-names":false,"suffix":""},{"dropping-particle":"","family":"Cai","given":"Di","non-dropping-particle":"","parse-names":false,"suffix":""},{"dropping-particle":"","family":"Chen","given":"Changjing","non-dropping-particle":"","parse-names":false,"suffix":""},{"dropping-particle":"","family":"Zhang","given":"Changwei","non-dropping-particle":"","parse-names":false,"suffix":""},{"dropping-particle":"","family":"Wang","given":"Jianhong","non-dropping-particle":"","parse-names":false,"suffix":""},{"dropping-particle":"","family":"Qin","given":"Peiyong","non-dropping-particle":"","parse-names":false,"suffix":""}],"container-title":"Separation and Purification Technology","id":"ITEM-1","issued":{"date-parts":[["2019"]]},"page":"241-248","title":"Techno-economic analysis of acetone-butanol-ethanol distillation sequences feeding the biphasic condensate after in situ gas stripping separation","type":"article-journal","volume":"219"},"uris":["http://www.mendeley.com/documents/?uuid=ef4b44ef-3b3f-4a11-adfa-f343c4993c7f"]}],"mendeley":{"formattedCitation":"(Chen et al., 2019)","plainTextFormattedCitation":"(Chen et al., 2019)","previouslyFormattedCitation":"(Chen et al., 2019)"},"properties":{"noteIndex":0},"schema":"https://github.com/citation-style-language/schema/raw/master/csl-citation.json"}</w:instrText>
      </w:r>
      <w:r w:rsidR="00ED76D0" w:rsidRPr="005664BA">
        <w:fldChar w:fldCharType="separate"/>
      </w:r>
      <w:r w:rsidR="00864D9F" w:rsidRPr="00864D9F">
        <w:rPr>
          <w:noProof/>
        </w:rPr>
        <w:t>(Chen et al., 2019)</w:t>
      </w:r>
      <w:r w:rsidR="00ED76D0" w:rsidRPr="005664BA">
        <w:fldChar w:fldCharType="end"/>
      </w:r>
      <w:r w:rsidRPr="005664BA">
        <w:t>, pervaporation</w:t>
      </w:r>
      <w:r w:rsidR="00ED76D0" w:rsidRPr="005664BA">
        <w:fldChar w:fldCharType="begin" w:fldLock="1"/>
      </w:r>
      <w:r w:rsidR="006C14B7">
        <w:instrText>ADDIN CSL_CITATION {"citationItems":[{"id":"ITEM-1","itemData":{"DOI":"10.1016/J.MEMSCI.2021.119617","ISSN":"0376-7388","abstract":"Hydrophobic Deep Eutectic Solvents (HDES) are considered a relatively novel class of solvents, which show perfect features to incorporate them in pervaporation membranes. Composite HDES membranes offer a separation media, which shows a faster molecular diffusion than polymeric membranes, combining the best properties of liquid and polymer membranes, such a high selectivity with high burst pressure and durability. In this work, the separation of acetone–butanol–ethanol mixtures (ABE) from aqueous solutions, is carried out by pervaporation using membranes prepared with HDES lidocaine-thymol (Lidol) and CH3(CH2)8COOH-Thymol (Decadol), coated with two polydimethylsiloxane (PDMS) flat sheet membranes. The composite membranes showed improved results for the butanol/water selectivity compared to the single PDMS layer membrane used as a control. The total flux of butanol obtained with the Lidol-based membrane was 2.93 × 10−3 [kg m−2 hr−1]. The total flux of water was 1.22 × 10−4 [kg m−2 hr−1], showing a selectivity value for butanol/water of 1932, while the control membrane had a selectivity value of 6. The results obtained with the composite membranes exhibited a higher and more stable performance in separating butanol from the ABE solution. The improvement in the selectivity can be explained by the synergic effect of the PDMS coating with the HDES layer.","author":[{"dropping-particle":"","family":"Cabezas","given":"R.","non-dropping-particle":"","parse-names":false,"suffix":""},{"dropping-particle":"","family":"Duran","given":"S.","non-dropping-particle":"","parse-names":false,"suffix":""},{"dropping-particle":"","family":"Zurob","given":"E.","non-dropping-particle":"","parse-names":false,"suffix":""},{"dropping-particle":"","family":"Plaza","given":"A.","non-dropping-particle":"","parse-names":false,"suffix":""},{"dropping-particle":"","family":"Merlet","given":"G.","non-dropping-particle":"","parse-names":false,"suffix":""},{"dropping-particle":"","family":"Araya-Lopez","given":"C.","non-dropping-particle":"","parse-names":false,"suffix":""},{"dropping-particle":"","family":"Romero","given":"J.","non-dropping-particle":"","parse-names":false,"suffix":""},{"dropping-particle":"","family":"Quijada-Maldonado","given":"E.","non-dropping-particle":"","parse-names":false,"suffix":""}],"container-title":"Journal of Membrane Science","id":"ITEM-1","issued":{"date-parts":[["2021","11","1"]]},"page":"119617","publisher":"Elsevier","title":"Development of silicone-coated hydrophobic deep eutectic solvent-based membranes for pervaporation of biobutanol","type":"article-journal","volume":"637"},"uris":["http://www.mendeley.com/documents/?uuid=d1a37dc9-5ba2-3792-82f9-a462478984e2"]}],"mendeley":{"formattedCitation":"(Cabezas et al., 2021)","plainTextFormattedCitation":"(Cabezas et al., 2021)","previouslyFormattedCitation":"(Cabezas et al., 2021)"},"properties":{"noteIndex":0},"schema":"https://github.com/citation-style-language/schema/raw/master/csl-citation.json"}</w:instrText>
      </w:r>
      <w:r w:rsidR="00ED76D0" w:rsidRPr="005664BA">
        <w:fldChar w:fldCharType="separate"/>
      </w:r>
      <w:r w:rsidR="00864D9F" w:rsidRPr="00864D9F">
        <w:rPr>
          <w:noProof/>
        </w:rPr>
        <w:t>(Cabezas et al., 2021)</w:t>
      </w:r>
      <w:r w:rsidR="00ED76D0" w:rsidRPr="005664BA">
        <w:fldChar w:fldCharType="end"/>
      </w:r>
      <w:r w:rsidRPr="005664BA">
        <w:t>, or liquid-liquid</w:t>
      </w:r>
      <w:r w:rsidR="00B62D9F" w:rsidRPr="005664BA">
        <w:t xml:space="preserve"> extraction, </w:t>
      </w:r>
      <w:r w:rsidRPr="005664BA">
        <w:t xml:space="preserve"> However, these techniques </w:t>
      </w:r>
      <w:r w:rsidR="000D46FC" w:rsidRPr="005664BA">
        <w:t>have</w:t>
      </w:r>
      <w:r w:rsidRPr="005664BA">
        <w:t xml:space="preserve"> drawbacks</w:t>
      </w:r>
      <w:r w:rsidR="00FD6E93">
        <w:t xml:space="preserve"> </w:t>
      </w:r>
      <w:r w:rsidR="004B4AEE">
        <w:fldChar w:fldCharType="begin" w:fldLock="1"/>
      </w:r>
      <w:r w:rsidR="00D0677D">
        <w:instrText>ADDIN CSL_CITATION {"citationItems":[{"id":"ITEM-1","itemData":{"DOI":"10.3303/CET2291037","ISBN":"978-88-95608-89-1","ISSN":"2283-9216","abstract":"The presence of nitrogen compounds in surface and groundwater is a serious concern. The treatment technologies currently used, based mainly on membrane and ion exchange processes, are expensive, complex and above all not very selective. On the other hand, biological processes are very efficient and selective towards nitrate, but the phases following denitrification, in which the treated water is separated from the biomass (potentially harmful to public health), are still very expensive. In this work, an original solution is proposed that combines biological treatment with the use of membranes to keep the water to be treated separate from bacterial cultures, thus limiting or eliminating the subsequent disinfection stages. As a result, efficiencies of up to 98% are achieved depending on operating conditions, while keeping costs low.","author":[{"dropping-particle":"","family":"Pietrelli","given":"L","non-dropping-particle":"","parse-names":false,"suffix":""},{"dropping-particle":"","family":"Ferro","given":"S","non-dropping-particle":"","parse-names":false,"suffix":""},{"dropping-particle":"","family":"Reverberi","given":"A P","non-dropping-particle":"","parse-names":false,"suffix":""},{"dropping-particle":"","family":"Vocciante","given":"M","non-dropping-particle":"","parse-names":false,"suffix":""}],"container-title":"Chemical Engineering Transactions","id":"ITEM-1","issued":{"date-parts":[["2022"]]},"page":"217-222","title":"Sustainable Removal of Nitrates from Wastewater Using Membrane Bioreactors","type":"article-journal","volume":"91"},"uris":["http://www.mendeley.com/documents/?uuid=158c1717-6b37-3ad0-b957-e6c1ab9ce0cf"]}],"mendeley":{"formattedCitation":"(Pietrelli et al., 2022)","plainTextFormattedCitation":"(Pietrelli et al., 2022)","previouslyFormattedCitation":"(Pietrelli et al., 2022)"},"properties":{"noteIndex":0},"schema":"https://github.com/citation-style-language/schema/raw/master/csl-citation.json"}</w:instrText>
      </w:r>
      <w:r w:rsidR="004B4AEE">
        <w:fldChar w:fldCharType="separate"/>
      </w:r>
      <w:r w:rsidR="004B4AEE" w:rsidRPr="004B4AEE">
        <w:rPr>
          <w:noProof/>
        </w:rPr>
        <w:t>(Pietrelli et al., 2022)</w:t>
      </w:r>
      <w:r w:rsidR="004B4AEE">
        <w:fldChar w:fldCharType="end"/>
      </w:r>
      <w:r w:rsidRPr="005664BA">
        <w:t xml:space="preserve"> such as high energy requirements, toxicity of solvents, loss of extractant agents, need of sterilization, adsorption of microorganisms on the surfaces, among others</w:t>
      </w:r>
      <w:r w:rsidR="00314990">
        <w:t xml:space="preserve"> </w:t>
      </w:r>
      <w:r w:rsidR="006A1E96" w:rsidRPr="005664BA">
        <w:fldChar w:fldCharType="begin" w:fldLock="1"/>
      </w:r>
      <w:r w:rsidR="006C14B7">
        <w:instrText xml:space="preserve">ADDIN CSL_CITATION {"citationItems":[{"id":"ITEM-1","itemData":{"DOI":"https://doi.org/10.1016/j.memsci.2011.10.035","ISSN":"0376-7388","abstract":"Supported silica filled poly[1-(trimethylsilyl)-1-propyne] (PTMSP) membranes were optimised in terms of silica filler loading and top layer thickness, and applied in the pervaporative separation of dilute aqueous ethanol and butanol mixtures (5wt.%). Addition of hydrophobic silica clearly increased the permeate flux at the expense of the alcohol/water selectivity. Based on its maximal pervaporation separation index (PSI) an optimum was found for a 25wt.% silica filled membrane with a PTMSP separating layer of 2.4μm thickness. This membrane exhibited a flux of 9.5kgm−2h−1 in combination with an ethanol/water separation factor of 18.3. In the pervaporation of a butanol/water mixture, a flux of 9.5kgm−2h−1 and accompanying separation factor of 104 was obtained. A benchmark of this optimised supported PTMSP-silica nanohybrid membrane against two commercially available PDMS-based membranes clearly demonstrated the superior flux/selectivity combination of the prepared thin film silica filled PTMSP membranes in the removal of alcohols from dilute aqueous mixtures. Compared to the commercial membranes, a 4- and 3-fold increase in flux and a 2- and 3-fold increase in alcohol/water separation factor was observed for the optimised supported PTMSP-silica membrane in the separation of a </w:instrText>
      </w:r>
      <w:r w:rsidR="006C14B7" w:rsidRPr="00DA0CB3">
        <w:rPr>
          <w:lang w:val="es-CL"/>
        </w:rPr>
        <w:instrText>5wt.% ethanol/water and butanol/water mixture, respectively.","author":[{"dropping-particle":"","family":"Claes","given":"Stan","non-dropping-particle":"","parse-names":false,"suffix":""},{"dropping-particle":"","family":"Vandezande","given":"Pieter","non-dropping-particle":"","parse-names":false,"suffix":""},{"dropping-particle":"","family":"Mullens","given":"Steven","non-dropping-particle":"","parse-names":false,"suffix":""},{"dropping-particle":"","family":"Sitter","given":"Kristien","non-dropping-particle":"De","parse-names":false,"suffix":""},{"dropping-particle":"","family":"Peeters","given":"Roos","non-dropping-particle":"","parse-names":false,"suffix":""},{"dropping-particle":"","family":"Bael","given":"Marlies K","non-dropping-particle":"Van","parse-names":false,"suffix":""}],"container-title":"Journal of Membrane Science","id":"ITEM-1","issued":{"date-parts":[["2012"]]},"page":"265-271","title":"Preparation and benchmarking of thin film supported PTMSP-silica pervaporation membranes","type":"article-journal","volume":"389"},"uris":["http://www.mendeley.com/documents/?uuid=fd5ef45b-9683-403a-aa48-a889b672b30c","http://www.mendeley.com/documents/?uuid=934bb0d0-3cfb-4beb-849c-8d95ab59882c"]}],"mendeley":{"formattedCitation":"(Claes et al., 2012)","plainTextFormattedCitation":"(Claes et al., 2012)","previouslyFormattedCitation":"(Claes et al., 2012)"},"properties":{"noteIndex":0},"schema":"https://github.com/citation-style-language/schema/raw/master/csl-citation.json"}</w:instrText>
      </w:r>
      <w:r w:rsidR="006A1E96" w:rsidRPr="005664BA">
        <w:fldChar w:fldCharType="separate"/>
      </w:r>
      <w:r w:rsidR="00864D9F" w:rsidRPr="00DA0CB3">
        <w:rPr>
          <w:noProof/>
          <w:lang w:val="es-CL"/>
        </w:rPr>
        <w:t>(Claes et al., 2012)</w:t>
      </w:r>
      <w:r w:rsidR="006A1E96" w:rsidRPr="005664BA">
        <w:fldChar w:fldCharType="end"/>
      </w:r>
      <w:r w:rsidRPr="00DA0CB3">
        <w:rPr>
          <w:lang w:val="es-CL"/>
        </w:rPr>
        <w:t xml:space="preserve">. </w:t>
      </w:r>
      <w:r w:rsidR="009C582E" w:rsidRPr="00DA0CB3">
        <w:rPr>
          <w:lang w:val="en-US"/>
        </w:rPr>
        <w:t>The use of membrane separation processes stands out for being efficient, versatile and environmentally friendly</w:t>
      </w:r>
      <w:r w:rsidR="009C582E">
        <w:rPr>
          <w:lang w:val="en-US"/>
        </w:rPr>
        <w:t>.</w:t>
      </w:r>
      <w:r w:rsidR="009C582E" w:rsidRPr="00DA0CB3" w:rsidDel="009C582E">
        <w:rPr>
          <w:lang w:val="en-US"/>
        </w:rPr>
        <w:t xml:space="preserve"> </w:t>
      </w:r>
      <w:r w:rsidR="00D50762">
        <w:fldChar w:fldCharType="begin" w:fldLock="1"/>
      </w:r>
      <w:r w:rsidR="00D50762" w:rsidRPr="00DA0CB3">
        <w:rPr>
          <w:lang w:val="en-US"/>
        </w:rPr>
        <w:instrText>ADDIN CSL_CITATION {"citationItems":[{"id":"ITEM-1","itemData":{"DOI":"10.1016/J.JECE.2021.105269","ISSN":"2213-3437","abstract":"The need for new technologies more efficient and less expensive to remove heavy metals from aqueous environments has lead to the development of novel biosorption-based membranes, where the adsorbent agent has a biological origin. In this work we propose the use of the biopolymer from a highly invasive microalgae, Didymosphenia geminata or Didymo, as lead adsorbent in a nanostructured membrane designed to facilitate heavy metal removal applications. Nanofibrilated cellulose was used as a membrane matrix, due to its non-toxic nature and good reinforcement abilities. In addition multi-walled carbon nanotubes (CNTs) were introduced into the membrane to improve structural and antifouling performance, which are critical aspects for membrane applications. The kinetics and nature of the adsorption process of the membrane were evaluated, confirming a high lead adsorption capacity (129 mg g-1), when compared to other biopolymers from micro and macroalgae. According to our measurements, this adsorption is connected to the presence of sulphur-based functional groups in the Didymo biopolymer. When CNTs are added to the memb</w:instrText>
      </w:r>
      <w:r w:rsidR="00D50762" w:rsidRPr="00DA0CB3">
        <w:rPr>
          <w:lang w:val="es-CL"/>
        </w:rPr>
        <w:instrText>rane its adsorption capacity increases, probably due to an increment of the membrane porosity and molecular diffu</w:instrText>
      </w:r>
      <w:r w:rsidR="00D50762">
        <w:instrText>sion. Antifouling and mechanical properties of the Didymo-based membranes were also explored. Phylogenetic studies confirmed the presence of only one genetic lineage of D. geminata found in all locations affected by this plague in Chile. The availability of biopolymer in the region with reproducible lead adsorption results increases the potential applicability of this biomaterial by adding value to a species well-known for having negative impacts on ecosystems and human activities.","author":[{"dropping-particle":"","family":"Reinoso-Guerra","given":"Elias","non-dropping-particle":"","parse-names":false,"suffix":""},{"dropping-particle":"","family":"Aristizabal","given":"Juliet","non-dropping-particle":"","parse-names":false,"suffix":""},{"dropping-particle":"","family":"Arce","given":"Bárbara","non-dropping-particle":"","parse-names":false,"suffix":""},{"dropping-particle":"","family":"Zurob","given":"Elsie","non-dropping-particle":"","parse-names":false,"suffix":""},{"dropping-particle":"","family":"Dennett","given":"Geraldine","non-dropping-particle":"","parse-names":false,"suffix":""},{"dropping-particle":"","family":"Fuentes","given":"Romina","non-dropping-particle":"","parse-names":false,"suffix":""},{"dropping-particle":"","family":"Suescún","given":"Ana Victoria","non-dropping-particle":"","parse-names":false,"suffix":""},{"dropping-particle":"","family":"Cárdenas","given":"Leyla","non-dropping-particle":"","parse-names":false,"suffix":""},{"dropping-particle":"","family":"Rodrigues Da Cunha","given":"Thiago Henrique","non-dropping-particle":"","parse-names":false,"suffix":""},{"dropping-particle":"","family":"Cabezas","given":"René","non-dropping-particle":"","parse-names":false,"suffix":""},{"dropping-particle":"","family":"García-Herrera","given":"Claudio","non-dropping-particle":"","parse-names":false,"suffix":""},{"dropping-particle":"","family":"Parra","given":"Carolina","non-dropping-particle":"","parse-names":false,"suffix":""}],"container-title":"Journal of Environmental Chemical Engineering","id":"ITEM-1","issue":"4","issued":{"date-parts":[["2021","8","1"]]},"page":"105269","publisher":"Elsevier","title":"Nanostructured Didymosphenia geminata-based membrane for efficient lead adsorption from aqueous solution","type":"article-journal","volume":"9"},"uris":["http://www.mendeley.com/documents/?uuid=1e534dd9-64c7-316e-b166-603e52d039ae"]}],"mendeley":{"formattedCitation":"(Reinoso-Guerra et al., 2021)","plainTextFormattedCitation":"(Reinoso-Guerra et al., 2021)"},"properties":{"noteIndex":0},"schema":"https://github.com/citation-style-language/schema/raw/master/csl-citation.json"}</w:instrText>
      </w:r>
      <w:r w:rsidR="00D50762">
        <w:fldChar w:fldCharType="separate"/>
      </w:r>
      <w:r w:rsidR="00D50762" w:rsidRPr="00D50762">
        <w:rPr>
          <w:noProof/>
        </w:rPr>
        <w:t>(Reinoso-Guerra et al., 2021)</w:t>
      </w:r>
      <w:r w:rsidR="00D50762">
        <w:fldChar w:fldCharType="end"/>
      </w:r>
      <w:r w:rsidR="00986C62">
        <w:t xml:space="preserve">, </w:t>
      </w:r>
      <w:r w:rsidR="00942AC3">
        <w:t>f</w:t>
      </w:r>
      <w:r w:rsidRPr="005664BA">
        <w:t xml:space="preserve">rom these </w:t>
      </w:r>
      <w:r w:rsidR="00942AC3">
        <w:t xml:space="preserve">membrane </w:t>
      </w:r>
      <w:r w:rsidRPr="00FC451C">
        <w:t xml:space="preserve">separation technologies, perstraction arises as a viable process because of </w:t>
      </w:r>
      <w:r w:rsidR="000833A0" w:rsidRPr="00FC451C">
        <w:t>the</w:t>
      </w:r>
      <w:r w:rsidRPr="00FC451C">
        <w:t xml:space="preserve"> moderate energy requirement and the indirect contact between the feed solution and the extractant phase</w:t>
      </w:r>
      <w:r w:rsidR="00D0677D" w:rsidRPr="00FC451C">
        <w:t xml:space="preserve"> </w:t>
      </w:r>
      <w:r w:rsidR="00D0677D" w:rsidRPr="00FC451C">
        <w:fldChar w:fldCharType="begin" w:fldLock="1"/>
      </w:r>
      <w:r w:rsidR="00D0677D" w:rsidRPr="00FC451C">
        <w:instrText>ADDIN CSL_CITATION {"citationItems":[{"id":"ITEM-1","itemData":{"DOI":"10.1016/j.seppur.2021.119008","ISSN":"18733794","abstract":"This paper presents an experimental and theoretical study for a perstraction system to recover diluted vanillin from aqueous solutions using an organophilic and hydrophobic membrane of polydimethylsiloxane (PDMS), and the hydrophobic ionic liquids (ILs) 1-butyl-3-methylimidazolium bis((trifluoromethyl)sulfonyl)imide ([bmim][Tf2N]), 1-octyl-3-methylimidazolium bis((trifluoromethyl)sulfonyl)imide ([omim][Tf2N]) and trihexyl tetradecyl phosphonium cyanamide ([P6,6,6,14][DCA]) as the extractant phase. The proposed mass transfer model was established as suitable for describing the extraction of vanillin from the aqueous phase in the perstraction system using ILs. According to this model, it was determined that the main mass transfer resistances were offered by the PDMS membrane, followed by the IL. [P6,6,6,14][DCA] experimentally showed a 13% increase in the transmembrane flux in comparison with the [Tf2N] anion based ILs, but also showed higher water transmembrane flux. In this regard, [omim][Tf2N] was found to exhibit better vanillin/water selectivity. The perstraction system gives better transmembrane fluxes than the data reported in the literature for vanillin extraction using pervaporation system. On the other hand, according to the screening in COSMO-RS, the combination of the anions DCA, SCN, TCC, Otf, PFBS, Tf2N, Pf2N y PF6 with pyrrolidinium, piperidinium and phosphonium base cations, are suitable to increase the performance of vanillin extraction.","author":[{"dropping-particle":"","family":"Olea","given":"F.","non-dropping-particle":"","parse-names":false,"suffix":""},{"dropping-particle":"","family":"Merlet","given":"G.","non-dropping-particle":"","parse-names":false,"suffix":""},{"dropping-particle":"","family":"Araya-López","given":"C.","non-dropping-particle":"","parse-names":false,"suffix":""},{"dropping-particle":"","family":"Cabezas","given":"R.","non-dropping-particle":"","parse-names":false,"suffix":""},{"dropping-particle":"","family":"Villarroel","given":"E.","non-dropping-particle":"","parse-names":false,"suffix":""},{"dropping-particle":"","family":"Quijada-Maldonado","given":"E.","non-dropping-particle":"","parse-names":false,"suffix":""},{"dropping-particle":"","family":"Romero","given":"J.","non-dropping-particle":"","parse-names":false,"suffix":""}],"container-title":"Separation and Purification Technology","id":"ITEM-1","issued":{"date-parts":[["2021"]]},"title":"Separation of vanillin by perstraction using hydrophobic ionic liquids as extractant phase: Analysis of mass transfer and screening of ILs via COSMO-RS","type":"article-journal","volume":"274"},"uris":["http://www.mendeley.com/documents/?uuid=8e748564-20bc-4192-bc91-3898fdd5ea50"]}],"mendeley":{"formattedCitation":"(Olea et al., 2021)","plainTextFormattedCitation":"(Olea et al., 2021)","previouslyFormattedCitation":"(Olea et al., 2021)"},"properties":{"noteIndex":0},"schema":"https://github.com/citation-style-language/schema/raw/master/csl-citation.json"}</w:instrText>
      </w:r>
      <w:r w:rsidR="00D0677D" w:rsidRPr="00FC451C">
        <w:fldChar w:fldCharType="separate"/>
      </w:r>
      <w:r w:rsidR="00D0677D" w:rsidRPr="00FC451C">
        <w:rPr>
          <w:noProof/>
        </w:rPr>
        <w:t>(Olea et al., 2021)</w:t>
      </w:r>
      <w:r w:rsidR="00D0677D" w:rsidRPr="00FC451C">
        <w:fldChar w:fldCharType="end"/>
      </w:r>
      <w:r w:rsidR="00D0677D" w:rsidRPr="00FC451C">
        <w:t>.</w:t>
      </w:r>
    </w:p>
    <w:p w14:paraId="4952BAB6" w14:textId="060D2D68" w:rsidR="004F2804" w:rsidRPr="005664BA" w:rsidRDefault="004F2804" w:rsidP="006B75B5">
      <w:r w:rsidRPr="00DA0CB3">
        <w:t>The principle of this operation combines the permeation with the</w:t>
      </w:r>
      <w:r w:rsidR="00567F90" w:rsidRPr="00DA0CB3">
        <w:t xml:space="preserve"> liquid-liquid</w:t>
      </w:r>
      <w:r w:rsidRPr="00DA0CB3">
        <w:t xml:space="preserve"> extraction process. Thus, butanol as the compound of interest is transferred from an aqueous phase through a dense polymeric membrane to an extractant where the butanol is absorbed.</w:t>
      </w:r>
      <w:r w:rsidR="001509C7" w:rsidRPr="00DA0CB3">
        <w:t xml:space="preserve"> </w:t>
      </w:r>
      <w:r w:rsidR="001F534D" w:rsidRPr="00DA0CB3">
        <w:t>S</w:t>
      </w:r>
      <w:r w:rsidR="00CF579F" w:rsidRPr="00DA0CB3">
        <w:t xml:space="preserve">eparation performance in perstraction could be improved with the right choice of receiving phase. Nowadays, Ionic Liquids (ILs) appear as a “green” alternative to organic </w:t>
      </w:r>
      <w:r w:rsidR="008244BD" w:rsidRPr="008244BD">
        <w:t>solvents,</w:t>
      </w:r>
      <w:r w:rsidR="00CF579F" w:rsidRPr="00DA0CB3">
        <w:t xml:space="preserve"> and they may be used as solvents to increase extraction and/or selectivity. as they may also be regenerated and reused selecting the proper strategy</w:t>
      </w:r>
      <w:r w:rsidR="00D0677D" w:rsidRPr="00DA0CB3">
        <w:t xml:space="preserve"> </w:t>
      </w:r>
      <w:r w:rsidR="00D0677D" w:rsidRPr="00FC451C">
        <w:fldChar w:fldCharType="begin" w:fldLock="1"/>
      </w:r>
      <w:r w:rsidR="00D0677D" w:rsidRPr="00FC451C">
        <w:instrText>ADDIN CSL_CITATION {"citationItems":[{"id":"ITEM-1","itemData":{"DOI":"10.1016/j.seppur.2021.119008","ISSN":"18733794","abstract":"This paper presents an experimental and theoretical study for a perstraction system to recover diluted vanillin from aqueous solutions using an organophilic and hydrophobic membrane of polydimethylsiloxane (PDMS), and the hydrophobic ionic liquids (ILs) 1-butyl-3-methylimidazolium bis((trifluoromethyl)sulfonyl)imide ([bmim][Tf2N]), 1-octyl-3-methylimidazolium bis((trifluoromethyl)sulfonyl)imide ([omim][Tf2N]) and trihexyl tetradecyl phosphonium cyanamide ([P6,6,6,14][DCA]) as the extractant phase. The proposed mass transfer model was established as suitable for describing the extraction of vanillin from the aqueous phase in the perstraction system using ILs. According to this model, it was determined that the main mass transfer resistances were offered by the PDMS membrane, followed by the IL. [P6,6,6,14][DCA] experimentally showed a 13% increase in the transmembrane flux in comparison with the [Tf2N] anion based ILs, but also showed higher water transmembrane flux. In this regard, [omim][Tf2N] was found to exhibit better vanillin/water selectivity. The perstraction system gives better transmembrane fluxes than the data reported in the literature for vanillin extraction using pervaporation system. On the other hand, according to the screening in COSMO-RS, the combination of the anions DCA, SCN, TCC, Otf, PFBS, Tf2N, Pf2N y PF6 with pyrrolidinium, piperidinium and phosphonium base cations, are suitable to increase the performance of vanillin extraction.","author":[{"dropping-particle":"","family":"Olea","given":"F.","non-dropping-particle":"","parse-names":false,"suffix":""},{"dropping-particle":"","family":"Merlet","given":"G.","non-dropping-particle":"","parse-names":false,"suffix":""},{"dropping-particle":"","family":"Araya-López","given":"C.","non-dropping-particle":"","parse-names":false,"suffix":""},{"dropping-particle":"","family":"Cabezas","given":"R.","non-dropping-particle":"","parse-names":false,"suffix":""},{"dropping-particle":"","family":"Villarroel","given":"E.","non-dropping-particle":"","parse-names":false,"suffix":""},{"dropping-particle":"","family":"Quijada-Maldonado","given":"E.","non-dropping-particle":"","parse-names":false,"suffix":""},{"dropping-particle":"","family":"Romero","given":"J.","non-dropping-particle":"","parse-names":false,"suffix":""}],"container-title":"Separation and Purification Technology","id":"ITEM-1","issued":{"date-parts":[["2021"]]},"title":"Separation of vanillin by perstraction using hydrophobic ionic liquids as extractant phase: Analysis of mass transfer and screening of ILs via COSMO-RS","type":"article-journal","volume":"274"},"uris":["http://www.mendeley.com/documents/?uuid=8e748564-20bc-4192-bc91-3898fdd5ea50"]}],"mendeley":{"formattedCitation":"(Olea et al., 2021)","plainTextFormattedCitation":"(Olea et al., 2021)","previouslyFormattedCitation":"(Olea et al., 2021)"},"properties":{"noteIndex":0},"schema":"https://github.com/citation-style-language/schema/raw/master/csl-citation.json"}</w:instrText>
      </w:r>
      <w:r w:rsidR="00D0677D" w:rsidRPr="00FC451C">
        <w:fldChar w:fldCharType="separate"/>
      </w:r>
      <w:r w:rsidR="00D0677D" w:rsidRPr="00FC451C">
        <w:rPr>
          <w:noProof/>
        </w:rPr>
        <w:t>(Olea et al., 2021)</w:t>
      </w:r>
      <w:r w:rsidR="00D0677D" w:rsidRPr="00FC451C">
        <w:fldChar w:fldCharType="end"/>
      </w:r>
      <w:r w:rsidR="00CF579F" w:rsidRPr="00DA0CB3">
        <w:t>., ILs are also an attractive alternative for the perstraction process. Even so hydrophobic ILs reduce energy consumption in regeneration because of the decrease of the water content. The perstraction alongside silicone-based membrane may allow extending the applicability of ILs, therefore, hydrophilic ILs could be implemented in this kind of process, since the silicone-based membrane to some extent rejects the water fluxes through the membrane. Therefore, perstraction can lessen the energy consumption used in recovery processes like distillation, due to the lower water content</w:t>
      </w:r>
      <w:r w:rsidR="00D0677D" w:rsidRPr="00DA0CB3">
        <w:t xml:space="preserve"> </w:t>
      </w:r>
      <w:r w:rsidR="00D0677D" w:rsidRPr="00DA0CB3">
        <w:fldChar w:fldCharType="begin" w:fldLock="1"/>
      </w:r>
      <w:r w:rsidR="008F3CF7">
        <w:instrText>ADDIN CSL_CITATION {"citationItems":[{"id":"ITEM-1","itemData":{"DOI":"10.1016/j.seppur.2011.10.002","ISSN":"13835866","abstract":"Organic acids constitute a key group among the building-block chemicals since they are extremely useful as starting materials for the chemical industry. However, the extraction processes of these acids from dilute waste water and fermentation broths normally use organic solvents which imply additional environmental hazards. In this work we have tested the efficiency of hydrophobic ionic liquids, namely phosphonium-based, to extract three short-chain organic acids (l-lactic, l-malic, and succinic acids) from dilute aqueous solutions, as model systems for the use of ionic liquids to extract bioproducts from fermentation broths. The effect of the anion's nature and the concentration of the acid in the aqueous solution on the partition coefficients was evaluated. Two different approaches to recover the organic acid from the ionic liquid, viz. reduced pressure distillation and pH variation were assessed. The results gathered in this work proved that phosphonium-based ILs can be better extractants than the organic solvents traditionally used. In addition, the predictive capacity of the COSMO-RS for the ternary systems water + organic acid + ionic liquid was evaluated. © 2011 Elsevier B.V. All rights reserved.","author":[{"dropping-particle":"","family":"Oliveira","given":"Filipe S.","non-dropping-particle":"","parse-names":false,"suffix":""},{"dropping-particle":"","family":"Araújo","given":"João M.M.","non-dropping-particle":"","parse-names":false,"suffix":""},{"dropping-particle":"","family":"Ferreira","given":"Rui","non-dropping-particle":"","parse-names":false,"suffix":""},{"dropping-particle":"","family":"Rebelo","given":"Luís Paulo N.","non-dropping-particle":"","parse-names":false,"suffix":""},{"dropping-particle":"","family":"Marrucho","given":"Isabel M.","non-dropping-particle":"","parse-names":false,"suffix":""}],"container-title":"Separation and Purification Technology","id":"ITEM-1","issued":{"date-parts":[["2012"]]},"page":"137-146","publisher":"Elsevier B.V.","title":"Extraction of l-lactic, l-malic, and succinic acids using phosphonium-based ionic liquids","type":"article-journal","volume":"85"},"uris":["http://www.mendeley.com/documents/?uuid=3e7412e2-6a3d-4a10-b6d4-86103ef0e939"]}],"mendeley":{"formattedCitation":"(Oliveira et al., 2012)","plainTextFormattedCitation":"(Oliveira et al., 2012)","previouslyFormattedCitation":"(Oliveira et al., 2012)"},"properties":{"noteIndex":0},"schema":"https://github.com/citation-style-language/schema/raw/master/csl-citation.json"}</w:instrText>
      </w:r>
      <w:r w:rsidR="00D0677D" w:rsidRPr="00DA0CB3">
        <w:fldChar w:fldCharType="separate"/>
      </w:r>
      <w:r w:rsidR="00D0677D" w:rsidRPr="00DA0CB3">
        <w:rPr>
          <w:noProof/>
        </w:rPr>
        <w:t>(Oliveira et al., 2012)</w:t>
      </w:r>
      <w:r w:rsidR="00D0677D" w:rsidRPr="00DA0CB3">
        <w:fldChar w:fldCharType="end"/>
      </w:r>
      <w:r w:rsidR="00CF579F" w:rsidRPr="00DA0CB3">
        <w:t xml:space="preserve">. </w:t>
      </w:r>
    </w:p>
    <w:p w14:paraId="05336E44" w14:textId="048C16CB" w:rsidR="00D83124" w:rsidRPr="00716362" w:rsidRDefault="008244BD" w:rsidP="006B75B5">
      <w:pPr>
        <w:rPr>
          <w:lang w:val="en-US"/>
        </w:rPr>
      </w:pPr>
      <w:r w:rsidRPr="008244BD">
        <w:t>Looking for an effective butanol separation</w:t>
      </w:r>
      <w:r>
        <w:t xml:space="preserve">, </w:t>
      </w:r>
      <w:r w:rsidRPr="008244BD">
        <w:t>Merlet and co-workers</w:t>
      </w:r>
      <w:r w:rsidRPr="008244BD" w:rsidDel="008244BD">
        <w:t xml:space="preserve"> </w:t>
      </w:r>
      <w:r w:rsidR="008F3CF7" w:rsidRPr="00DA0CB3">
        <w:fldChar w:fldCharType="begin" w:fldLock="1"/>
      </w:r>
      <w:r w:rsidR="00D50762">
        <w:instrText>ADDIN CSL_CITATION {"citationItems":[{"id":"ITEM-1","itemData":{"DOI":"10.1016/j.memsci.2017.05.045","ISSN":"18733123","abstract":"In this work, the perstraction process was implemented to separate butanol, acetone and ethanol from aqueous solutions using four different commercial hydrophobic ionic liquids (ILs) as receiving phase: [bmin][PF6], [bmim][Tf2N], [omim][Tf2N] and [P6,6,6,14][DCA]. These ILs constituted by different cations and anions were selected in terms of its hydrophobicity, good solubility of butanol and commercial availability. Perstraction assays were carried out using a symmetric membrane made in polydimethylsiloxane (PDMS) in order to quantify the extraction percentage and transmembrane fluxes of butanol, acetone, ethanol and water. The results indicate that the transmembrane fluxes of butanol were particularly high considering that the PDMS membrane used in the experiments was relatively thick (160 µm). The highest average flux of butanol was obtained using [P6,6,6,14][DCA] as the extractant reaching a value of 5.5×10−3 kg h−1 m−2. Nevertheless, the IL with the best separation performance was [omim][Tf2N] with a low flux of butanol (4.3×10−3 kg h−1 m−2) but with the highest butanol/water selectivity value equal to 64.25. This perstraction technique combined with ILs could allow to design a wide range of separation processes to purify a large variety of molecules. Besides that, the perstraction process could be considered a good alternative for the selective separation of fermentation or reaction products with high commercial value.","author":[{"dropping-particle":"","family":"Merlet","given":"G.","non-dropping-particle":"","parse-names":false,"suffix":""},{"dropping-particle":"","family":"Uribe","given":"F.","non-dropping-particle":"","parse-names":false,"suffix":""},{"dropping-particle":"","family":"Aravena","given":"C.","non-dropping-particle":"","parse-names":false,"suffix":""},{"dropping-particle":"","family":"Rodríguez","given":"M.","non-dropping-particle":"","parse-names":false,"suffix":""},{"dropping-particle":"","family":"Cabezas","given":"R.","non-dropping-particle":"","parse-names":false,"suffix":""},{"dropping-particle":"","family":"Quijada-Maldonado","given":"E.","non-dropping-particle":"","parse-names":false,"suffix":""},{"dropping-particle":"","family":"Romero","given":"J.","non-dropping-particle":"","parse-names":false,"suffix":""}],"container-title":"Journal of Membrane Science","id":"ITEM-1","issued":{"date-parts":[["2017","9","1"]]},"page":"337-343","title":"Separation of fermentation products from ABE mixtures by perstraction using hydrophobic ionic liquids as extractants","type":"article-journal","volume":"537"},"uris":["http://www.mendeley.com/documents/?uuid=a411c8d5-ff8b-4f14-b318-fc3b7c722f9e"]}],"mendeley":{"formattedCitation":"(Merlet et al., 2017)","plainTextFormattedCitation":"(Merlet et al., 2017)","previouslyFormattedCitation":"(Merlet et al., 2017)"},"properties":{"noteIndex":0},"schema":"https://github.com/citation-style-language/schema/raw/master/csl-citation.json"}</w:instrText>
      </w:r>
      <w:r w:rsidR="008F3CF7" w:rsidRPr="00DA0CB3">
        <w:fldChar w:fldCharType="separate"/>
      </w:r>
      <w:r w:rsidR="008F3CF7" w:rsidRPr="00DA0CB3">
        <w:rPr>
          <w:noProof/>
        </w:rPr>
        <w:t>(Merlet et al., 2017)</w:t>
      </w:r>
      <w:r w:rsidR="008F3CF7" w:rsidRPr="00DA0CB3">
        <w:fldChar w:fldCharType="end"/>
      </w:r>
      <w:r w:rsidR="00310536" w:rsidRPr="00DA0CB3">
        <w:t>develop</w:t>
      </w:r>
      <w:r w:rsidR="007273CE" w:rsidRPr="00DA0CB3">
        <w:t>ed</w:t>
      </w:r>
      <w:r w:rsidR="00310536" w:rsidRPr="00DA0CB3">
        <w:t xml:space="preserve"> the perstraction process to separate butanol, acetone and ethanol from aqueous solutions using four different commercial hydrophobic ILs as receiving phase: [bmin][PF</w:t>
      </w:r>
      <w:r w:rsidR="00310536" w:rsidRPr="00DA0CB3">
        <w:rPr>
          <w:vertAlign w:val="subscript"/>
        </w:rPr>
        <w:t>6</w:t>
      </w:r>
      <w:r w:rsidR="00310536" w:rsidRPr="00DA0CB3">
        <w:t>], [bmim][Tf</w:t>
      </w:r>
      <w:r w:rsidR="00310536" w:rsidRPr="00DA0CB3">
        <w:rPr>
          <w:vertAlign w:val="subscript"/>
        </w:rPr>
        <w:t>2</w:t>
      </w:r>
      <w:r w:rsidR="00310536" w:rsidRPr="00DA0CB3">
        <w:t>N], [omim][Tf</w:t>
      </w:r>
      <w:r w:rsidR="00310536" w:rsidRPr="00DA0CB3">
        <w:rPr>
          <w:vertAlign w:val="subscript"/>
        </w:rPr>
        <w:t>2</w:t>
      </w:r>
      <w:r w:rsidR="00310536" w:rsidRPr="00DA0CB3">
        <w:t>N] and [P</w:t>
      </w:r>
      <w:r w:rsidR="00310536" w:rsidRPr="00DA0CB3">
        <w:rPr>
          <w:vertAlign w:val="subscript"/>
        </w:rPr>
        <w:t>6,6,6,14</w:t>
      </w:r>
      <w:r w:rsidR="00310536" w:rsidRPr="00DA0CB3">
        <w:t>][DCA]. Perstraction assays were carried out using a symmetric membrane made in polydimethylsiloxane (PDMS)</w:t>
      </w:r>
      <w:r w:rsidR="0083124F" w:rsidRPr="00DA0CB3">
        <w:t>. Where t</w:t>
      </w:r>
      <w:r w:rsidR="00310536" w:rsidRPr="00DA0CB3">
        <w:t>he highest average flux of butanol was obtained using [P</w:t>
      </w:r>
      <w:r w:rsidR="00310536" w:rsidRPr="00DA0CB3">
        <w:rPr>
          <w:vertAlign w:val="subscript"/>
        </w:rPr>
        <w:t>6,6,6,14</w:t>
      </w:r>
      <w:r w:rsidR="00310536" w:rsidRPr="00DA0CB3">
        <w:t>][DCA] as the extractant reaching a value of 5.5</w:t>
      </w:r>
      <m:oMath>
        <m:r>
          <w:rPr>
            <w:rFonts w:ascii="Cambria Math" w:hAnsi="Cambria Math"/>
          </w:rPr>
          <m:t>∙</m:t>
        </m:r>
      </m:oMath>
      <w:r w:rsidR="004A0A3A" w:rsidRPr="005664BA">
        <w:t xml:space="preserve"> 10</w:t>
      </w:r>
      <w:r w:rsidR="004A0A3A" w:rsidRPr="005664BA">
        <w:rPr>
          <w:vertAlign w:val="superscript"/>
        </w:rPr>
        <w:t>-3</w:t>
      </w:r>
      <w:r w:rsidR="00310536" w:rsidRPr="00DA0CB3">
        <w:t xml:space="preserve"> kg h−1 m−2 . Nevertheless, the IL with the best separation performance was [</w:t>
      </w:r>
      <w:r w:rsidR="00716362">
        <w:t>omim</w:t>
      </w:r>
      <w:r w:rsidR="00310536" w:rsidRPr="00DA0CB3">
        <w:t>][Tf</w:t>
      </w:r>
      <w:r w:rsidR="00310536" w:rsidRPr="00DA0CB3">
        <w:rPr>
          <w:vertAlign w:val="subscript"/>
        </w:rPr>
        <w:t>2</w:t>
      </w:r>
      <w:r w:rsidR="00310536" w:rsidRPr="00DA0CB3">
        <w:t>N] with a low flux of butanol (4.3</w:t>
      </w:r>
      <m:oMath>
        <m:r>
          <w:rPr>
            <w:rFonts w:ascii="Cambria Math" w:hAnsi="Cambria Math"/>
          </w:rPr>
          <m:t>∙</m:t>
        </m:r>
      </m:oMath>
      <w:r w:rsidR="004A0A3A" w:rsidRPr="005664BA">
        <w:t xml:space="preserve"> 10</w:t>
      </w:r>
      <w:r w:rsidR="004A0A3A" w:rsidRPr="005664BA">
        <w:rPr>
          <w:vertAlign w:val="superscript"/>
        </w:rPr>
        <w:t>-3</w:t>
      </w:r>
      <w:r w:rsidR="00310536" w:rsidRPr="00DA0CB3">
        <w:t xml:space="preserve"> kg h</w:t>
      </w:r>
      <w:r w:rsidR="00310536" w:rsidRPr="00716362">
        <w:rPr>
          <w:vertAlign w:val="superscript"/>
        </w:rPr>
        <w:t>−1</w:t>
      </w:r>
      <w:r w:rsidR="00310536" w:rsidRPr="00DA0CB3">
        <w:t xml:space="preserve"> m</w:t>
      </w:r>
      <w:r w:rsidR="00310536" w:rsidRPr="00716362">
        <w:rPr>
          <w:vertAlign w:val="superscript"/>
        </w:rPr>
        <w:t>−2</w:t>
      </w:r>
      <w:r w:rsidR="00310536" w:rsidRPr="00DA0CB3">
        <w:t xml:space="preserve"> ) but with the highest butanol/water selectivity value equal to 64.25</w:t>
      </w:r>
      <w:r w:rsidR="006A1E96" w:rsidRPr="00DA0CB3">
        <w:fldChar w:fldCharType="begin" w:fldLock="1"/>
      </w:r>
      <w:r w:rsidR="006C14B7" w:rsidRPr="00DA0CB3">
        <w:instrText>ADDIN CSL_CITATION {"citationItems":[{"id":"ITEM-1","itemData":{"DOI":"10.1016/j.memsci.2017.05.045","ISSN":"18733123","abstract":"In this work, the perstraction process was implemented to separate butanol, acetone and ethanol from aqueous solutions using four different commercial hydrophobic ionic liquids (ILs) as receiving phase: [bmin][PF6], [bmim][Tf2N], [omim][Tf2N] and [P6,6,6,14][DCA]. These ILs constituted by different cations and anions were selected in terms of its hydrophobicity, good solubility of butanol and commercial availability. Perstraction assays were carried out using a symmetric membrane made in polydimethylsiloxane (PDMS) in order to quantify the extraction percentage and transmembrane fluxes of butanol, acetone, ethanol and water. The results indicate that the transmembrane fluxes of butanol were particularly high considering that the PDMS membrane used in the experiments was relatively thick (160 µm). The highest average flux of butanol was obtained using [P6,6,6,14][DCA] as the extractant reaching a value of 5.5×10−3 kg h−1 m−2. Nevertheless, the IL with the best separation performance was [omim][Tf2N] with a low flux of butanol (4.3×10−3 kg h−1 m−2) but with the highest butanol/water selectivity value equal to 64.25. This perstraction technique combined with ILs could allow to design a wide range of separation processes to purify a large variety of molecules. Besides that, the perstraction process could be considered a good alternative for the selective separation of fermentation or reaction products with high commercial val</w:instrText>
      </w:r>
      <w:r w:rsidR="006C14B7" w:rsidRPr="00716362">
        <w:rPr>
          <w:lang w:val="en-US"/>
        </w:rPr>
        <w:instrText>ue.","author":[{"dropping-particle":"","family":"Merlet","given":"G.","non-dropping-particle":"","parse-names":false,"suffix":""},{"dropping-particle":"","family":"Uribe","given":"F.","non-dropping-particle":"","parse-names":false,"suffix":""},{"dropping-particle":"","family":"Aravena","given":"C.","non-dropping-particle":"","parse-names":false,"suffix":""},{"dropping-particle":"","family":"Rodríguez","given":"M.","non-dropping-particle":"","parse-names":false,"suffix":""},{"dropping-particle":"","family":"Cabezas","given":"R.","non-dropping-particle":"","parse-names":false,"suffix":""},{"dropping-particle":"","family":"Quijada-Maldonado","given":"E.","non-dropping-particle":"","parse-names":false,"suffix":""},{"dropping-particle":"","family":"Romero","given":"J.","non-dropping-particle":"","parse-names":false,"suffix":""}],"container-title":"Journal of Membrane Science","id":"ITEM-1","issued":{"date-parts":[["2017","9","1"]]},"page":"337-343","title":"Separation of fermentation products from ABE mixtures by perstraction using hydrophobic ionic liquids as extractants","type":"article-journal","volume":"537"},"uris":["http://www.mendeley.com/documents/?uuid=a411c8d5-ff8b-4f14-b318-fc3b7c722f9e"]}],"mendeley":{"formattedCitation":"(Merlet et al., 2017)","plainTextFormattedCitation":"(Merlet et al., 2017)","previouslyFormattedCitation":"(Merlet et al., 2017)"},"properties":{"noteIndex":0},"schema":"https://github.com/citation-style-language/schema/raw/master/csl-citation.json"}</w:instrText>
      </w:r>
      <w:r w:rsidR="006A1E96" w:rsidRPr="00DA0CB3">
        <w:fldChar w:fldCharType="separate"/>
      </w:r>
      <w:r w:rsidR="00864D9F" w:rsidRPr="00716362">
        <w:rPr>
          <w:noProof/>
          <w:lang w:val="en-US"/>
        </w:rPr>
        <w:t>(Merlet et al., 2017)</w:t>
      </w:r>
      <w:r w:rsidR="006A1E96" w:rsidRPr="00DA0CB3">
        <w:fldChar w:fldCharType="end"/>
      </w:r>
      <w:r w:rsidR="00D83124" w:rsidRPr="00716362">
        <w:rPr>
          <w:lang w:val="en-US"/>
        </w:rPr>
        <w:t>.</w:t>
      </w:r>
    </w:p>
    <w:p w14:paraId="5C1A1F8A" w14:textId="4A806F44" w:rsidR="00705C72" w:rsidRPr="00716362" w:rsidRDefault="00A42C27" w:rsidP="006B75B5">
      <w:pPr>
        <w:rPr>
          <w:highlight w:val="yellow"/>
          <w:lang w:val="en-US"/>
        </w:rPr>
      </w:pPr>
      <w:r w:rsidRPr="00DA0CB3">
        <w:rPr>
          <w:lang w:val="en-US"/>
        </w:rPr>
        <w:t xml:space="preserve">The aim of this work </w:t>
      </w:r>
      <w:r w:rsidR="00134920" w:rsidRPr="00DA0CB3">
        <w:rPr>
          <w:lang w:val="en-US"/>
        </w:rPr>
        <w:t xml:space="preserve">is to study the temperature effect in the performance </w:t>
      </w:r>
      <w:r w:rsidR="0038109A" w:rsidRPr="00DA0CB3">
        <w:rPr>
          <w:lang w:val="en-US"/>
        </w:rPr>
        <w:t xml:space="preserve">extraction of </w:t>
      </w:r>
      <w:r w:rsidR="00C40A3D" w:rsidRPr="00DA0CB3">
        <w:rPr>
          <w:lang w:val="en-US"/>
        </w:rPr>
        <w:t xml:space="preserve">Butanol from </w:t>
      </w:r>
      <w:r w:rsidR="008244BD" w:rsidRPr="00DA0CB3">
        <w:rPr>
          <w:lang w:val="en-US"/>
        </w:rPr>
        <w:t>ABE</w:t>
      </w:r>
      <w:r w:rsidR="00C40A3D" w:rsidRPr="00DA0CB3">
        <w:rPr>
          <w:lang w:val="en-US"/>
        </w:rPr>
        <w:t xml:space="preserve"> solution</w:t>
      </w:r>
      <w:r w:rsidR="008244BD" w:rsidRPr="00DA0CB3">
        <w:rPr>
          <w:lang w:val="en-US"/>
        </w:rPr>
        <w:t>s in order to optimize butanol extraction</w:t>
      </w:r>
      <w:r w:rsidR="008244BD">
        <w:rPr>
          <w:lang w:val="en-US"/>
        </w:rPr>
        <w:t xml:space="preserve"> and</w:t>
      </w:r>
      <w:r w:rsidR="008244BD" w:rsidRPr="00DA0CB3">
        <w:rPr>
          <w:lang w:val="en-US"/>
        </w:rPr>
        <w:t xml:space="preserve">, considering the effect that </w:t>
      </w:r>
      <w:r w:rsidR="008244BD">
        <w:rPr>
          <w:lang w:val="en-US"/>
        </w:rPr>
        <w:t xml:space="preserve">the </w:t>
      </w:r>
      <w:r w:rsidR="008244BD" w:rsidRPr="00DA0CB3">
        <w:rPr>
          <w:lang w:val="en-US"/>
        </w:rPr>
        <w:t xml:space="preserve">temperature has on the transport properties of the aqueous solution and ionic liquid, </w:t>
      </w:r>
      <w:r w:rsidR="00716362" w:rsidRPr="00DA0CB3">
        <w:rPr>
          <w:lang w:val="en-US"/>
        </w:rPr>
        <w:t>as well as</w:t>
      </w:r>
      <w:r w:rsidR="008244BD" w:rsidRPr="00DA0CB3">
        <w:rPr>
          <w:lang w:val="en-US"/>
        </w:rPr>
        <w:t xml:space="preserve"> the effect on the thermodynamic equilibrium at the aqueous solution/ membrane and membrane / ionic liquid. In addition, to test the performance of an ionic liquid with a cation very similar to butanol and a very hydrophobic anion</w:t>
      </w:r>
    </w:p>
    <w:p w14:paraId="03F75F12" w14:textId="6CEEAE46" w:rsidR="00363A5A" w:rsidRPr="005664BA" w:rsidRDefault="00D14983" w:rsidP="00D14983">
      <w:pPr>
        <w:pStyle w:val="CETHeading1"/>
        <w:rPr>
          <w:lang w:val="en-GB"/>
        </w:rPr>
      </w:pPr>
      <w:r w:rsidRPr="005664BA">
        <w:rPr>
          <w:lang w:val="en-GB"/>
        </w:rPr>
        <w:t>Experimental</w:t>
      </w:r>
    </w:p>
    <w:p w14:paraId="2F0EB6D5" w14:textId="47EE3EB6" w:rsidR="00F0677B" w:rsidRPr="005664BA" w:rsidRDefault="00F0677B" w:rsidP="00F0677B">
      <w:pPr>
        <w:pStyle w:val="CETBodytext"/>
        <w:rPr>
          <w:lang w:val="en-GB"/>
        </w:rPr>
      </w:pPr>
      <w:r w:rsidRPr="005664BA">
        <w:rPr>
          <w:lang w:val="en-GB"/>
        </w:rPr>
        <w:t>2.1. Materials and reagents</w:t>
      </w:r>
    </w:p>
    <w:p w14:paraId="19E8B325" w14:textId="77777777" w:rsidR="00F0677B" w:rsidRPr="005664BA" w:rsidRDefault="00F0677B" w:rsidP="00F0677B">
      <w:pPr>
        <w:pStyle w:val="CETBodytext"/>
        <w:rPr>
          <w:lang w:val="en-GB"/>
        </w:rPr>
      </w:pPr>
    </w:p>
    <w:p w14:paraId="1B57FDEA" w14:textId="5B45465C" w:rsidR="00F0677B" w:rsidRPr="00716362" w:rsidRDefault="001F534D" w:rsidP="00716362">
      <w:pPr>
        <w:pStyle w:val="CETBodytext"/>
        <w:rPr>
          <w:lang w:val="en-GB"/>
        </w:rPr>
      </w:pPr>
      <w:r w:rsidRPr="005664BA">
        <w:rPr>
          <w:lang w:val="en-GB"/>
        </w:rPr>
        <w:t>T</w:t>
      </w:r>
      <w:r w:rsidR="00F0677B" w:rsidRPr="005664BA">
        <w:rPr>
          <w:lang w:val="en-GB"/>
        </w:rPr>
        <w:t>rihexyltetradecyl phosphonium bis(trifluoromethyl sulfonyl)imide  [P</w:t>
      </w:r>
      <w:r w:rsidR="00F0677B" w:rsidRPr="005664BA">
        <w:rPr>
          <w:vertAlign w:val="subscript"/>
          <w:lang w:val="en-GB"/>
        </w:rPr>
        <w:t>6,6,6,14</w:t>
      </w:r>
      <w:r w:rsidR="00F0677B" w:rsidRPr="005664BA">
        <w:rPr>
          <w:lang w:val="en-GB"/>
        </w:rPr>
        <w:t>][Tf</w:t>
      </w:r>
      <w:r w:rsidR="00F0677B" w:rsidRPr="005664BA">
        <w:rPr>
          <w:vertAlign w:val="subscript"/>
          <w:lang w:val="en-GB"/>
        </w:rPr>
        <w:t>2</w:t>
      </w:r>
      <w:r w:rsidR="00F0677B" w:rsidRPr="005664BA">
        <w:rPr>
          <w:lang w:val="en-GB"/>
        </w:rPr>
        <w:t>N] purity 9</w:t>
      </w:r>
      <w:r w:rsidR="00C4765B">
        <w:rPr>
          <w:lang w:val="en-GB"/>
        </w:rPr>
        <w:t>8</w:t>
      </w:r>
      <w:r w:rsidR="00F0677B" w:rsidRPr="005664BA">
        <w:rPr>
          <w:lang w:val="en-GB"/>
        </w:rPr>
        <w:t>%,were supplied by Iolitec.</w:t>
      </w:r>
      <w:r w:rsidR="005F7990" w:rsidRPr="005664BA">
        <w:rPr>
          <w:lang w:val="en-GB"/>
        </w:rPr>
        <w:t xml:space="preserve"> </w:t>
      </w:r>
      <w:r w:rsidR="00F0677B" w:rsidRPr="005664BA">
        <w:rPr>
          <w:lang w:val="en-GB"/>
        </w:rPr>
        <w:t>acetone, butan-1-ol and ethanol with analytical grade were</w:t>
      </w:r>
      <w:r w:rsidR="005F7990" w:rsidRPr="005664BA">
        <w:rPr>
          <w:lang w:val="en-GB"/>
        </w:rPr>
        <w:t xml:space="preserve"> </w:t>
      </w:r>
      <w:r w:rsidR="00F0677B" w:rsidRPr="005664BA">
        <w:rPr>
          <w:lang w:val="en-GB"/>
        </w:rPr>
        <w:t>purchased from Sigma Aldrich.</w:t>
      </w:r>
      <w:r w:rsidRPr="005664BA">
        <w:rPr>
          <w:lang w:val="en-GB"/>
        </w:rPr>
        <w:t xml:space="preserve"> </w:t>
      </w:r>
      <w:r w:rsidR="00F0677B" w:rsidRPr="005664BA">
        <w:rPr>
          <w:lang w:val="en-GB"/>
        </w:rPr>
        <w:t>On the other hand, PDMS membranes were purchased fromKolm®, Chile. These membranes were selected from their</w:t>
      </w:r>
      <w:r w:rsidR="005F7990" w:rsidRPr="005664BA">
        <w:rPr>
          <w:lang w:val="en-GB"/>
        </w:rPr>
        <w:t xml:space="preserve"> </w:t>
      </w:r>
      <w:r w:rsidR="00F0677B" w:rsidRPr="005664BA">
        <w:rPr>
          <w:lang w:val="en-GB"/>
        </w:rPr>
        <w:t>organophilic character and as one of the most used materials in</w:t>
      </w:r>
      <w:r w:rsidR="005F7990" w:rsidRPr="005664BA">
        <w:rPr>
          <w:lang w:val="en-GB"/>
        </w:rPr>
        <w:t xml:space="preserve"> </w:t>
      </w:r>
      <w:r w:rsidR="00F0677B" w:rsidRPr="005664BA">
        <w:rPr>
          <w:lang w:val="en-GB"/>
        </w:rPr>
        <w:t>pervaporation membranes. The model ABE solutions were</w:t>
      </w:r>
      <w:r w:rsidR="005F7990" w:rsidRPr="005664BA">
        <w:rPr>
          <w:lang w:val="en-GB"/>
        </w:rPr>
        <w:t xml:space="preserve"> </w:t>
      </w:r>
      <w:r w:rsidR="00F0677B" w:rsidRPr="005664BA">
        <w:rPr>
          <w:lang w:val="en-GB"/>
        </w:rPr>
        <w:t xml:space="preserve">prepared by mixing acetone, butanol and ethanol with </w:t>
      </w:r>
      <w:r w:rsidR="005F7990" w:rsidRPr="00DA0CB3">
        <w:rPr>
          <w:lang w:val="en-GB"/>
        </w:rPr>
        <w:t>deionized water (&gt;18 MU) obtained from a Purelab Classic Co.Water System.</w:t>
      </w:r>
      <w:r w:rsidR="00716362">
        <w:rPr>
          <w:lang w:val="en-GB"/>
        </w:rPr>
        <w:t xml:space="preserve"> </w:t>
      </w:r>
      <w:r w:rsidR="005F7990" w:rsidRPr="00DA0CB3">
        <w:t>The properties  of the IL tested in this study are summarized in Table 1</w:t>
      </w:r>
    </w:p>
    <w:p w14:paraId="5A842B10" w14:textId="71F691F8" w:rsidR="00547DB1" w:rsidRPr="005664BA" w:rsidRDefault="00547DB1" w:rsidP="00DA0CB3">
      <w:pPr>
        <w:pStyle w:val="CETTabletitle"/>
      </w:pPr>
      <w:r>
        <w:t xml:space="preserve">Table 1. </w:t>
      </w:r>
      <w:r w:rsidR="007944CB">
        <w:t>properties of the ionic liquid used in this work</w:t>
      </w:r>
    </w:p>
    <w:tbl>
      <w:tblPr>
        <w:tblStyle w:val="Tablaconcuadrcula1"/>
        <w:tblW w:w="99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17"/>
        <w:gridCol w:w="2410"/>
        <w:gridCol w:w="1276"/>
        <w:gridCol w:w="850"/>
        <w:gridCol w:w="1136"/>
        <w:gridCol w:w="1278"/>
      </w:tblGrid>
      <w:tr w:rsidR="00837248" w:rsidRPr="005664BA" w14:paraId="3F6287E1" w14:textId="0905E527" w:rsidTr="00C4765B">
        <w:trPr>
          <w:trHeight w:val="510"/>
          <w:jc w:val="center"/>
        </w:trPr>
        <w:tc>
          <w:tcPr>
            <w:tcW w:w="1560" w:type="dxa"/>
            <w:tcBorders>
              <w:top w:val="single" w:sz="12" w:space="0" w:color="00B050"/>
              <w:bottom w:val="single" w:sz="12" w:space="0" w:color="00B050"/>
            </w:tcBorders>
            <w:vAlign w:val="center"/>
          </w:tcPr>
          <w:p w14:paraId="7CFF7381" w14:textId="77777777" w:rsidR="00837248" w:rsidRPr="00716362" w:rsidRDefault="00837248" w:rsidP="00716362">
            <w:pPr>
              <w:pStyle w:val="CETBodytext"/>
              <w:jc w:val="center"/>
              <w:rPr>
                <w:lang w:val="en-GB"/>
              </w:rPr>
            </w:pPr>
            <w:r w:rsidRPr="00716362">
              <w:rPr>
                <w:lang w:val="en-GB"/>
              </w:rPr>
              <w:t>Name</w:t>
            </w:r>
          </w:p>
        </w:tc>
        <w:tc>
          <w:tcPr>
            <w:tcW w:w="1417" w:type="dxa"/>
            <w:tcBorders>
              <w:top w:val="single" w:sz="12" w:space="0" w:color="00B050"/>
              <w:bottom w:val="single" w:sz="12" w:space="0" w:color="00B050"/>
            </w:tcBorders>
            <w:vAlign w:val="center"/>
          </w:tcPr>
          <w:p w14:paraId="6EFF0B21" w14:textId="77777777" w:rsidR="00837248" w:rsidRPr="00716362" w:rsidRDefault="00837248" w:rsidP="00716362">
            <w:pPr>
              <w:pStyle w:val="CETBodytext"/>
              <w:jc w:val="center"/>
              <w:rPr>
                <w:lang w:val="en-GB"/>
              </w:rPr>
            </w:pPr>
            <w:r w:rsidRPr="00716362">
              <w:rPr>
                <w:lang w:val="en-GB"/>
              </w:rPr>
              <w:t>Nomenclature</w:t>
            </w:r>
          </w:p>
        </w:tc>
        <w:tc>
          <w:tcPr>
            <w:tcW w:w="2410" w:type="dxa"/>
            <w:tcBorders>
              <w:top w:val="single" w:sz="12" w:space="0" w:color="00B050"/>
              <w:bottom w:val="single" w:sz="12" w:space="0" w:color="00B050"/>
            </w:tcBorders>
            <w:vAlign w:val="center"/>
          </w:tcPr>
          <w:p w14:paraId="495AE726" w14:textId="77777777" w:rsidR="00837248" w:rsidRPr="00716362" w:rsidRDefault="00837248" w:rsidP="00716362">
            <w:pPr>
              <w:pStyle w:val="CETBodytext"/>
              <w:jc w:val="center"/>
              <w:rPr>
                <w:lang w:val="en-GB"/>
              </w:rPr>
            </w:pPr>
            <w:r w:rsidRPr="00716362">
              <w:rPr>
                <w:lang w:val="en-GB"/>
              </w:rPr>
              <w:t>Structures</w:t>
            </w:r>
          </w:p>
        </w:tc>
        <w:tc>
          <w:tcPr>
            <w:tcW w:w="1276" w:type="dxa"/>
            <w:tcBorders>
              <w:top w:val="single" w:sz="12" w:space="0" w:color="00B050"/>
              <w:bottom w:val="single" w:sz="12" w:space="0" w:color="00B050"/>
            </w:tcBorders>
          </w:tcPr>
          <w:p w14:paraId="0A0389E0" w14:textId="29BFFD8F" w:rsidR="00837248" w:rsidRPr="00716362" w:rsidRDefault="00837248" w:rsidP="00716362">
            <w:pPr>
              <w:pStyle w:val="CETBodytext"/>
              <w:jc w:val="center"/>
              <w:rPr>
                <w:lang w:val="en-GB"/>
              </w:rPr>
            </w:pPr>
            <w:r w:rsidRPr="00716362">
              <w:rPr>
                <w:lang w:val="en-GB"/>
              </w:rPr>
              <w:t>Density/viscosity</w:t>
            </w:r>
          </w:p>
        </w:tc>
        <w:tc>
          <w:tcPr>
            <w:tcW w:w="850" w:type="dxa"/>
            <w:tcBorders>
              <w:top w:val="single" w:sz="12" w:space="0" w:color="00B050"/>
              <w:bottom w:val="single" w:sz="12" w:space="0" w:color="00B050"/>
            </w:tcBorders>
          </w:tcPr>
          <w:p w14:paraId="6F8C7799" w14:textId="6298A8AD" w:rsidR="00837248" w:rsidRPr="00716362" w:rsidRDefault="00837248" w:rsidP="00716362">
            <w:pPr>
              <w:pStyle w:val="CETBodytext"/>
              <w:jc w:val="center"/>
              <w:rPr>
                <w:lang w:val="en-GB"/>
              </w:rPr>
            </w:pPr>
            <w:r w:rsidRPr="00716362">
              <w:rPr>
                <w:lang w:val="en-GB"/>
              </w:rPr>
              <w:t>Melting point</w:t>
            </w:r>
          </w:p>
        </w:tc>
        <w:tc>
          <w:tcPr>
            <w:tcW w:w="1136" w:type="dxa"/>
            <w:tcBorders>
              <w:top w:val="single" w:sz="12" w:space="0" w:color="00B050"/>
              <w:bottom w:val="single" w:sz="12" w:space="0" w:color="00B050"/>
            </w:tcBorders>
          </w:tcPr>
          <w:p w14:paraId="03F65F36" w14:textId="3AB8A6DE" w:rsidR="00837248" w:rsidRPr="00716362" w:rsidRDefault="00837248" w:rsidP="00716362">
            <w:pPr>
              <w:pStyle w:val="CETBodytext"/>
              <w:jc w:val="center"/>
              <w:rPr>
                <w:lang w:val="en-GB"/>
              </w:rPr>
            </w:pPr>
            <w:r w:rsidRPr="00716362">
              <w:rPr>
                <w:lang w:val="en-GB"/>
              </w:rPr>
              <w:t>Molecul</w:t>
            </w:r>
            <w:r>
              <w:rPr>
                <w:lang w:val="en-GB"/>
              </w:rPr>
              <w:t xml:space="preserve">ar </w:t>
            </w:r>
            <w:r w:rsidRPr="00716362">
              <w:rPr>
                <w:lang w:val="en-GB"/>
              </w:rPr>
              <w:t>weight</w:t>
            </w:r>
          </w:p>
        </w:tc>
        <w:tc>
          <w:tcPr>
            <w:tcW w:w="1278" w:type="dxa"/>
            <w:tcBorders>
              <w:top w:val="single" w:sz="12" w:space="0" w:color="00B050"/>
              <w:bottom w:val="single" w:sz="12" w:space="0" w:color="00B050"/>
            </w:tcBorders>
          </w:tcPr>
          <w:p w14:paraId="4234CD5A" w14:textId="456DACD2" w:rsidR="00837248" w:rsidRPr="00716362" w:rsidRDefault="00837248" w:rsidP="00716362">
            <w:pPr>
              <w:pStyle w:val="CETBodytext"/>
              <w:jc w:val="center"/>
              <w:rPr>
                <w:lang w:val="en-GB"/>
              </w:rPr>
            </w:pPr>
            <w:r>
              <w:rPr>
                <w:lang w:val="en-GB"/>
              </w:rPr>
              <w:t>Water saturation 25°C</w:t>
            </w:r>
          </w:p>
        </w:tc>
      </w:tr>
      <w:tr w:rsidR="00837248" w:rsidRPr="005664BA" w14:paraId="11150D47" w14:textId="7EB6DAC5" w:rsidTr="00C4765B">
        <w:trPr>
          <w:trHeight w:val="567"/>
          <w:jc w:val="center"/>
        </w:trPr>
        <w:tc>
          <w:tcPr>
            <w:tcW w:w="1560" w:type="dxa"/>
            <w:vAlign w:val="center"/>
          </w:tcPr>
          <w:p w14:paraId="188E3027" w14:textId="77777777" w:rsidR="00837248" w:rsidRPr="00716362" w:rsidRDefault="00837248" w:rsidP="00716362">
            <w:pPr>
              <w:pStyle w:val="CETBodytext"/>
              <w:jc w:val="center"/>
              <w:rPr>
                <w:lang w:val="en-GB"/>
              </w:rPr>
            </w:pPr>
            <w:r w:rsidRPr="00716362">
              <w:rPr>
                <w:lang w:val="en-GB"/>
              </w:rPr>
              <w:t>Trihexyltetradecylphosphonium</w:t>
            </w:r>
          </w:p>
          <w:p w14:paraId="42038BDE" w14:textId="21DA05B0" w:rsidR="00837248" w:rsidRPr="00716362" w:rsidRDefault="00837248" w:rsidP="00716362">
            <w:pPr>
              <w:pStyle w:val="CETBodytext"/>
              <w:jc w:val="center"/>
              <w:rPr>
                <w:lang w:val="en-GB"/>
              </w:rPr>
            </w:pPr>
            <w:r w:rsidRPr="00716362">
              <w:rPr>
                <w:lang w:val="en-GB"/>
              </w:rPr>
              <w:t>Bis(trifluoromethylsulfonyl)imide</w:t>
            </w:r>
          </w:p>
        </w:tc>
        <w:tc>
          <w:tcPr>
            <w:tcW w:w="1417" w:type="dxa"/>
            <w:vAlign w:val="center"/>
          </w:tcPr>
          <w:p w14:paraId="1D19A848" w14:textId="4418E949" w:rsidR="00837248" w:rsidRPr="00716362" w:rsidRDefault="00837248" w:rsidP="00716362">
            <w:pPr>
              <w:pStyle w:val="CETBodytext"/>
              <w:jc w:val="center"/>
              <w:rPr>
                <w:lang w:val="en-GB"/>
              </w:rPr>
            </w:pPr>
            <w:r w:rsidRPr="00716362">
              <w:rPr>
                <w:lang w:val="en-GB"/>
              </w:rPr>
              <w:t>[P</w:t>
            </w:r>
            <w:r w:rsidRPr="00716362">
              <w:rPr>
                <w:vertAlign w:val="subscript"/>
                <w:lang w:val="en-GB"/>
              </w:rPr>
              <w:t>6,6,6,14</w:t>
            </w:r>
            <w:r w:rsidRPr="00716362">
              <w:rPr>
                <w:lang w:val="en-GB"/>
              </w:rPr>
              <w:t>][Tf</w:t>
            </w:r>
            <w:r w:rsidRPr="00716362">
              <w:rPr>
                <w:vertAlign w:val="subscript"/>
                <w:lang w:val="en-GB"/>
              </w:rPr>
              <w:t>2</w:t>
            </w:r>
            <w:r w:rsidRPr="00716362">
              <w:rPr>
                <w:lang w:val="en-GB"/>
              </w:rPr>
              <w:t>N]</w:t>
            </w:r>
          </w:p>
        </w:tc>
        <w:tc>
          <w:tcPr>
            <w:tcW w:w="2410" w:type="dxa"/>
          </w:tcPr>
          <w:p w14:paraId="7C598375" w14:textId="0ABA5FC7" w:rsidR="00837248" w:rsidRPr="00716362" w:rsidRDefault="00837248" w:rsidP="00716362">
            <w:pPr>
              <w:pStyle w:val="CETBodytext"/>
              <w:jc w:val="center"/>
              <w:rPr>
                <w:lang w:val="en-GB"/>
              </w:rPr>
            </w:pPr>
            <w:r w:rsidRPr="00716362">
              <w:rPr>
                <w:lang w:val="en-GB"/>
              </w:rPr>
              <w:drawing>
                <wp:inline distT="0" distB="0" distL="0" distR="0" wp14:anchorId="2AF908FF" wp14:editId="0FB90656">
                  <wp:extent cx="1386840" cy="657990"/>
                  <wp:effectExtent l="0" t="0" r="3810" b="8890"/>
                  <wp:docPr id="41" name="Imagen 4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Diagrama&#10;&#10;Descripción generada automáticament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90044" cy="659510"/>
                          </a:xfrm>
                          <a:prstGeom prst="rect">
                            <a:avLst/>
                          </a:prstGeom>
                        </pic:spPr>
                      </pic:pic>
                    </a:graphicData>
                  </a:graphic>
                </wp:inline>
              </w:drawing>
            </w:r>
          </w:p>
        </w:tc>
        <w:tc>
          <w:tcPr>
            <w:tcW w:w="1276" w:type="dxa"/>
          </w:tcPr>
          <w:p w14:paraId="7FA417F9" w14:textId="77777777" w:rsidR="00C4765B" w:rsidRDefault="00C4765B" w:rsidP="00716362">
            <w:pPr>
              <w:pStyle w:val="CETBodytext"/>
              <w:jc w:val="center"/>
              <w:rPr>
                <w:lang w:val="en-GB"/>
              </w:rPr>
            </w:pPr>
          </w:p>
          <w:p w14:paraId="09D4784D" w14:textId="3A199096" w:rsidR="00837248" w:rsidRPr="00716362" w:rsidRDefault="00837248" w:rsidP="00716362">
            <w:pPr>
              <w:pStyle w:val="CETBodytext"/>
              <w:jc w:val="center"/>
              <w:rPr>
                <w:lang w:val="en-GB"/>
              </w:rPr>
            </w:pPr>
            <w:r>
              <w:rPr>
                <w:lang w:val="en-GB"/>
              </w:rPr>
              <w:t>1260 kg</w:t>
            </w:r>
            <w:r w:rsidR="00C4765B">
              <w:rPr>
                <w:lang w:val="en-GB"/>
              </w:rPr>
              <w:t xml:space="preserve"> </w:t>
            </w:r>
            <w:r>
              <w:rPr>
                <w:lang w:val="en-GB"/>
              </w:rPr>
              <w:t>m</w:t>
            </w:r>
            <w:r w:rsidR="00C4765B" w:rsidRPr="00C4765B">
              <w:rPr>
                <w:vertAlign w:val="superscript"/>
                <w:lang w:val="en-GB"/>
              </w:rPr>
              <w:t>-</w:t>
            </w:r>
            <w:r w:rsidRPr="00C4765B">
              <w:rPr>
                <w:vertAlign w:val="superscript"/>
                <w:lang w:val="en-GB"/>
              </w:rPr>
              <w:t>3</w:t>
            </w:r>
            <w:r>
              <w:rPr>
                <w:lang w:val="en-GB"/>
              </w:rPr>
              <w:t xml:space="preserve"> / </w:t>
            </w:r>
            <w:r w:rsidRPr="00837248">
              <w:rPr>
                <w:lang w:val="en-GB"/>
              </w:rPr>
              <w:t>209 mPa s</w:t>
            </w:r>
            <w:r>
              <w:rPr>
                <w:lang w:val="en-GB"/>
              </w:rPr>
              <w:t xml:space="preserve"> </w:t>
            </w:r>
          </w:p>
        </w:tc>
        <w:tc>
          <w:tcPr>
            <w:tcW w:w="850" w:type="dxa"/>
          </w:tcPr>
          <w:p w14:paraId="20DE2556" w14:textId="77777777" w:rsidR="00C4765B" w:rsidRDefault="00C4765B" w:rsidP="00716362">
            <w:pPr>
              <w:pStyle w:val="CETBodytext"/>
              <w:jc w:val="center"/>
              <w:rPr>
                <w:lang w:val="en-GB"/>
              </w:rPr>
            </w:pPr>
          </w:p>
          <w:p w14:paraId="5A37D605" w14:textId="054B05A0" w:rsidR="00837248" w:rsidRPr="00716362" w:rsidRDefault="00837248" w:rsidP="00C4765B">
            <w:pPr>
              <w:pStyle w:val="CETBodytext"/>
              <w:jc w:val="center"/>
              <w:rPr>
                <w:lang w:val="en-GB"/>
              </w:rPr>
            </w:pPr>
            <w:r>
              <w:rPr>
                <w:lang w:val="en-GB"/>
              </w:rPr>
              <w:t>16°C</w:t>
            </w:r>
          </w:p>
        </w:tc>
        <w:tc>
          <w:tcPr>
            <w:tcW w:w="1136" w:type="dxa"/>
          </w:tcPr>
          <w:p w14:paraId="2D04DF68" w14:textId="77777777" w:rsidR="00C4765B" w:rsidRDefault="00C4765B" w:rsidP="00716362">
            <w:pPr>
              <w:pStyle w:val="CETBodytext"/>
              <w:jc w:val="center"/>
            </w:pPr>
          </w:p>
          <w:p w14:paraId="67992B4C" w14:textId="2A237323" w:rsidR="00837248" w:rsidRPr="00716362" w:rsidRDefault="00837248" w:rsidP="00716362">
            <w:pPr>
              <w:pStyle w:val="CETBodytext"/>
              <w:jc w:val="center"/>
              <w:rPr>
                <w:lang w:val="en-GB"/>
              </w:rPr>
            </w:pPr>
            <w:r>
              <w:t>497.50</w:t>
            </w:r>
            <w:r>
              <w:t xml:space="preserve"> gmol</w:t>
            </w:r>
          </w:p>
        </w:tc>
        <w:tc>
          <w:tcPr>
            <w:tcW w:w="1278" w:type="dxa"/>
          </w:tcPr>
          <w:p w14:paraId="7C191595" w14:textId="77777777" w:rsidR="00C4765B" w:rsidRDefault="00C4765B" w:rsidP="00716362">
            <w:pPr>
              <w:pStyle w:val="CETBodytext"/>
              <w:jc w:val="center"/>
            </w:pPr>
          </w:p>
          <w:p w14:paraId="47F3B90B" w14:textId="2EFB5C85" w:rsidR="00837248" w:rsidRDefault="00837248" w:rsidP="00716362">
            <w:pPr>
              <w:pStyle w:val="CETBodytext"/>
              <w:jc w:val="center"/>
            </w:pPr>
            <w:r>
              <w:t>&gt;200 ppm</w:t>
            </w:r>
          </w:p>
        </w:tc>
      </w:tr>
    </w:tbl>
    <w:p w14:paraId="5B14817B" w14:textId="6E373EA5" w:rsidR="00A22766" w:rsidRPr="005664BA" w:rsidRDefault="0015412C" w:rsidP="000F08BB">
      <w:pPr>
        <w:pStyle w:val="CETheadingx"/>
      </w:pPr>
      <w:r w:rsidRPr="005664BA">
        <w:t xml:space="preserve">2.2. </w:t>
      </w:r>
      <w:r w:rsidR="00A22766" w:rsidRPr="005664BA">
        <w:t xml:space="preserve">Perstraction assays </w:t>
      </w:r>
    </w:p>
    <w:p w14:paraId="60A43CC5" w14:textId="0D6671B9" w:rsidR="00A22766" w:rsidRPr="005664BA" w:rsidRDefault="00A22766" w:rsidP="00A22766">
      <w:pPr>
        <w:pStyle w:val="CETBodytext"/>
        <w:rPr>
          <w:lang w:val="en-GB"/>
        </w:rPr>
      </w:pPr>
      <w:r w:rsidRPr="005664BA">
        <w:rPr>
          <w:lang w:val="en-GB"/>
        </w:rPr>
        <w:t xml:space="preserve">Perstraction process were carried out </w:t>
      </w:r>
      <w:r w:rsidR="00733E38" w:rsidRPr="005664BA">
        <w:rPr>
          <w:lang w:val="en-GB"/>
        </w:rPr>
        <w:t xml:space="preserve">in a system </w:t>
      </w:r>
      <w:r w:rsidR="00E86BBD" w:rsidRPr="005664BA">
        <w:rPr>
          <w:lang w:val="en-GB"/>
        </w:rPr>
        <w:t>(</w:t>
      </w:r>
      <w:r w:rsidR="002C6D13" w:rsidRPr="005664BA">
        <w:rPr>
          <w:lang w:val="en-GB"/>
        </w:rPr>
        <w:t>show</w:t>
      </w:r>
      <w:r w:rsidR="00E86BBD" w:rsidRPr="005664BA">
        <w:rPr>
          <w:lang w:val="en-GB"/>
        </w:rPr>
        <w:t>n</w:t>
      </w:r>
      <w:r w:rsidR="002C6D13" w:rsidRPr="005664BA">
        <w:rPr>
          <w:lang w:val="en-GB"/>
        </w:rPr>
        <w:t xml:space="preserve"> in </w:t>
      </w:r>
      <w:r w:rsidR="00E86BBD" w:rsidRPr="005664BA">
        <w:rPr>
          <w:lang w:val="en-GB"/>
        </w:rPr>
        <w:t>F</w:t>
      </w:r>
      <w:r w:rsidR="00733E38" w:rsidRPr="005664BA">
        <w:rPr>
          <w:lang w:val="en-GB"/>
        </w:rPr>
        <w:t>igure 1</w:t>
      </w:r>
      <w:r w:rsidR="00E86BBD" w:rsidRPr="005664BA">
        <w:rPr>
          <w:lang w:val="en-GB"/>
        </w:rPr>
        <w:t>)</w:t>
      </w:r>
      <w:r w:rsidR="00733E38" w:rsidRPr="005664BA">
        <w:rPr>
          <w:lang w:val="en-GB"/>
        </w:rPr>
        <w:t xml:space="preserve"> </w:t>
      </w:r>
      <w:r w:rsidR="005138B1" w:rsidRPr="005664BA">
        <w:rPr>
          <w:lang w:val="en-GB"/>
        </w:rPr>
        <w:t>with</w:t>
      </w:r>
      <w:r w:rsidRPr="005664BA">
        <w:rPr>
          <w:lang w:val="en-GB"/>
        </w:rPr>
        <w:t xml:space="preserve"> two streams: an aqueous feed</w:t>
      </w:r>
      <w:r w:rsidR="002235C7" w:rsidRPr="005664BA">
        <w:rPr>
          <w:lang w:val="en-GB"/>
        </w:rPr>
        <w:t xml:space="preserve"> solution</w:t>
      </w:r>
      <w:r w:rsidR="002C6D13" w:rsidRPr="005664BA">
        <w:rPr>
          <w:lang w:val="en-GB"/>
        </w:rPr>
        <w:t xml:space="preserve"> </w:t>
      </w:r>
      <w:r w:rsidR="00A50BC0" w:rsidRPr="005664BA">
        <w:rPr>
          <w:lang w:val="en-GB"/>
        </w:rPr>
        <w:t>(</w:t>
      </w:r>
      <w:r w:rsidR="00B65C75" w:rsidRPr="005664BA">
        <w:rPr>
          <w:lang w:val="en-GB"/>
        </w:rPr>
        <w:t>fs</w:t>
      </w:r>
      <w:r w:rsidR="00A50BC0" w:rsidRPr="005664BA">
        <w:rPr>
          <w:lang w:val="en-GB"/>
        </w:rPr>
        <w:t>)</w:t>
      </w:r>
      <w:r w:rsidRPr="005664BA">
        <w:rPr>
          <w:lang w:val="en-GB"/>
        </w:rPr>
        <w:t xml:space="preserve"> containing acetone,</w:t>
      </w:r>
      <w:r w:rsidR="005138B1" w:rsidRPr="005664BA">
        <w:rPr>
          <w:lang w:val="en-GB"/>
        </w:rPr>
        <w:t xml:space="preserve"> </w:t>
      </w:r>
      <w:r w:rsidRPr="005664BA">
        <w:rPr>
          <w:lang w:val="en-GB"/>
        </w:rPr>
        <w:t>butanol and ethanol</w:t>
      </w:r>
      <w:r w:rsidR="0078436B" w:rsidRPr="005664BA">
        <w:rPr>
          <w:lang w:val="en-GB"/>
        </w:rPr>
        <w:t xml:space="preserve"> with a concentration of 6</w:t>
      </w:r>
      <w:r w:rsidR="0079188F">
        <w:rPr>
          <w:lang w:val="en-GB"/>
        </w:rPr>
        <w:t>,</w:t>
      </w:r>
      <w:r w:rsidR="0078436B" w:rsidRPr="005664BA">
        <w:rPr>
          <w:lang w:val="en-GB"/>
        </w:rPr>
        <w:t>000, 12,000 and 2</w:t>
      </w:r>
      <w:r w:rsidR="0079188F">
        <w:rPr>
          <w:lang w:val="en-GB"/>
        </w:rPr>
        <w:t>,</w:t>
      </w:r>
      <w:r w:rsidR="0078436B" w:rsidRPr="005664BA">
        <w:rPr>
          <w:lang w:val="en-GB"/>
        </w:rPr>
        <w:t xml:space="preserve">000 ppm respectively  </w:t>
      </w:r>
      <w:r w:rsidRPr="005664BA">
        <w:rPr>
          <w:lang w:val="en-GB"/>
        </w:rPr>
        <w:t xml:space="preserve">and </w:t>
      </w:r>
      <w:r w:rsidR="00121F56" w:rsidRPr="005664BA">
        <w:rPr>
          <w:lang w:val="en-GB"/>
        </w:rPr>
        <w:t>[P</w:t>
      </w:r>
      <w:r w:rsidR="00121F56" w:rsidRPr="005664BA">
        <w:rPr>
          <w:vertAlign w:val="subscript"/>
          <w:lang w:val="en-GB"/>
        </w:rPr>
        <w:t>6,6,6,14</w:t>
      </w:r>
      <w:r w:rsidR="00121F56" w:rsidRPr="005664BA">
        <w:rPr>
          <w:lang w:val="en-GB"/>
        </w:rPr>
        <w:t>][Tf</w:t>
      </w:r>
      <w:r w:rsidR="00121F56" w:rsidRPr="005664BA">
        <w:rPr>
          <w:vertAlign w:val="subscript"/>
          <w:lang w:val="en-GB"/>
        </w:rPr>
        <w:t>2</w:t>
      </w:r>
      <w:r w:rsidR="00121F56" w:rsidRPr="005664BA">
        <w:rPr>
          <w:lang w:val="en-GB"/>
        </w:rPr>
        <w:t xml:space="preserve">N] </w:t>
      </w:r>
      <w:r w:rsidR="005138B1" w:rsidRPr="005664BA">
        <w:rPr>
          <w:lang w:val="en-GB"/>
        </w:rPr>
        <w:t>as</w:t>
      </w:r>
      <w:r w:rsidRPr="005664BA">
        <w:rPr>
          <w:lang w:val="en-GB"/>
        </w:rPr>
        <w:t xml:space="preserve"> receiving phase of the </w:t>
      </w:r>
      <w:r w:rsidR="00FB3E77" w:rsidRPr="005664BA">
        <w:rPr>
          <w:lang w:val="en-GB"/>
        </w:rPr>
        <w:t>ABE compounds</w:t>
      </w:r>
      <w:r w:rsidR="00577AF8" w:rsidRPr="005664BA">
        <w:rPr>
          <w:lang w:val="en-GB"/>
        </w:rPr>
        <w:t xml:space="preserve">, separated by a </w:t>
      </w:r>
      <w:r w:rsidR="000E2C4C" w:rsidRPr="005664BA">
        <w:rPr>
          <w:lang w:val="en-GB"/>
        </w:rPr>
        <w:t xml:space="preserve">flat sheet membrane </w:t>
      </w:r>
      <w:r w:rsidR="00577AF8" w:rsidRPr="005664BA">
        <w:rPr>
          <w:lang w:val="en-GB"/>
        </w:rPr>
        <w:t xml:space="preserve">of </w:t>
      </w:r>
      <w:r w:rsidRPr="005664BA">
        <w:rPr>
          <w:lang w:val="en-GB"/>
        </w:rPr>
        <w:t xml:space="preserve"> polydimethy</w:t>
      </w:r>
      <w:r w:rsidR="00577AF8" w:rsidRPr="005664BA">
        <w:rPr>
          <w:lang w:val="en-GB"/>
        </w:rPr>
        <w:t xml:space="preserve">l </w:t>
      </w:r>
      <w:r w:rsidRPr="005664BA">
        <w:rPr>
          <w:lang w:val="en-GB"/>
        </w:rPr>
        <w:t xml:space="preserve">siloxane (PDMS) </w:t>
      </w:r>
      <w:r w:rsidR="00E86BBD" w:rsidRPr="005664BA">
        <w:rPr>
          <w:lang w:val="en-GB"/>
        </w:rPr>
        <w:t xml:space="preserve">with </w:t>
      </w:r>
      <w:r w:rsidRPr="005664BA">
        <w:rPr>
          <w:lang w:val="en-GB"/>
        </w:rPr>
        <w:t>thickness of 160 µm,</w:t>
      </w:r>
      <w:r w:rsidR="00E86BBD" w:rsidRPr="005664BA">
        <w:rPr>
          <w:lang w:val="en-GB"/>
        </w:rPr>
        <w:t xml:space="preserve"> a</w:t>
      </w:r>
      <w:r w:rsidRPr="005664BA">
        <w:rPr>
          <w:lang w:val="en-GB"/>
        </w:rPr>
        <w:t xml:space="preserve"> </w:t>
      </w:r>
      <w:r w:rsidR="00577AF8" w:rsidRPr="005664BA">
        <w:rPr>
          <w:lang w:val="en-GB"/>
        </w:rPr>
        <w:t>surface area</w:t>
      </w:r>
      <w:r w:rsidR="00E86BBD" w:rsidRPr="005664BA">
        <w:rPr>
          <w:lang w:val="en-GB"/>
        </w:rPr>
        <w:t xml:space="preserve"> of </w:t>
      </w:r>
      <w:r w:rsidR="00577AF8" w:rsidRPr="005664BA">
        <w:rPr>
          <w:lang w:val="en-GB"/>
        </w:rPr>
        <w:t xml:space="preserve"> 0.015 </w:t>
      </w:r>
      <w:r w:rsidRPr="005664BA">
        <w:rPr>
          <w:lang w:val="en-GB"/>
        </w:rPr>
        <w:t>m</w:t>
      </w:r>
      <w:r w:rsidRPr="005664BA">
        <w:rPr>
          <w:vertAlign w:val="superscript"/>
          <w:lang w:val="en-GB"/>
        </w:rPr>
        <w:t>2</w:t>
      </w:r>
      <w:r w:rsidRPr="005664BA">
        <w:rPr>
          <w:lang w:val="en-GB"/>
        </w:rPr>
        <w:t xml:space="preserve"> and a density of 1</w:t>
      </w:r>
      <w:r w:rsidR="004A0A3A">
        <w:rPr>
          <w:lang w:val="en-GB"/>
        </w:rPr>
        <w:t>,</w:t>
      </w:r>
      <w:r w:rsidRPr="005664BA">
        <w:rPr>
          <w:lang w:val="en-GB"/>
        </w:rPr>
        <w:t xml:space="preserve">200 </w:t>
      </w:r>
      <w:r w:rsidRPr="005664BA">
        <w:rPr>
          <w:lang w:val="en-GB"/>
        </w:rPr>
        <w:lastRenderedPageBreak/>
        <w:t>kg m</w:t>
      </w:r>
      <w:r w:rsidRPr="005664BA">
        <w:rPr>
          <w:vertAlign w:val="superscript"/>
          <w:lang w:val="en-GB"/>
        </w:rPr>
        <w:t>−3</w:t>
      </w:r>
      <w:r w:rsidR="001270FA" w:rsidRPr="005664BA">
        <w:rPr>
          <w:lang w:val="en-GB"/>
        </w:rPr>
        <w:t>.</w:t>
      </w:r>
      <w:r w:rsidR="00D14983" w:rsidRPr="005664BA">
        <w:rPr>
          <w:lang w:val="en-GB"/>
        </w:rPr>
        <w:t xml:space="preserve"> </w:t>
      </w:r>
      <w:r w:rsidR="00434113" w:rsidRPr="005664BA">
        <w:rPr>
          <w:lang w:val="en-GB"/>
        </w:rPr>
        <w:t>The experimental runs</w:t>
      </w:r>
      <w:r w:rsidR="00D14983" w:rsidRPr="005664BA">
        <w:rPr>
          <w:lang w:val="en-GB"/>
        </w:rPr>
        <w:t xml:space="preserve"> </w:t>
      </w:r>
      <w:r w:rsidR="00434113" w:rsidRPr="005664BA">
        <w:rPr>
          <w:lang w:val="en-GB"/>
        </w:rPr>
        <w:t>were</w:t>
      </w:r>
      <w:r w:rsidR="00D14983" w:rsidRPr="005664BA">
        <w:rPr>
          <w:lang w:val="en-GB"/>
        </w:rPr>
        <w:t xml:space="preserve"> performed in a total time of 6 h</w:t>
      </w:r>
      <w:r w:rsidR="00434113" w:rsidRPr="005664BA">
        <w:rPr>
          <w:lang w:val="en-GB"/>
        </w:rPr>
        <w:t>,</w:t>
      </w:r>
      <w:r w:rsidR="00D14983" w:rsidRPr="005664BA">
        <w:rPr>
          <w:lang w:val="en-GB"/>
        </w:rPr>
        <w:t xml:space="preserve"> where the decrease in concentration of each solute of the ABE solution was measured as a function of time</w:t>
      </w:r>
      <w:r w:rsidR="008A49F9" w:rsidRPr="005664BA">
        <w:rPr>
          <w:lang w:val="en-GB"/>
        </w:rPr>
        <w:t xml:space="preserve"> by gas chromatography in a Perkin Elmer® Clarus 500 GC with a Carbowax column and FID.</w:t>
      </w:r>
      <w:r w:rsidR="00DB2902" w:rsidRPr="005664BA">
        <w:rPr>
          <w:lang w:val="en-GB"/>
        </w:rPr>
        <w:t xml:space="preserve"> The concentration changes of butanol, acetone and ethano</w:t>
      </w:r>
      <w:r w:rsidR="00511370">
        <w:rPr>
          <w:lang w:val="en-GB"/>
        </w:rPr>
        <w:t>l</w:t>
      </w:r>
      <w:r w:rsidR="00DB2902" w:rsidRPr="005664BA">
        <w:rPr>
          <w:lang w:val="en-GB"/>
        </w:rPr>
        <w:t xml:space="preserve"> were monitored as a function of time </w:t>
      </w:r>
      <w:r w:rsidR="00FA3281" w:rsidRPr="005664BA">
        <w:rPr>
          <w:lang w:val="en-GB"/>
        </w:rPr>
        <w:t>collecting 1</w:t>
      </w:r>
      <w:r w:rsidR="00FA3281">
        <w:rPr>
          <w:rFonts w:cs="Arial"/>
          <w:lang w:val="en-GB"/>
        </w:rPr>
        <w:t>µ</w:t>
      </w:r>
      <w:r w:rsidR="00DB2902" w:rsidRPr="005664BA">
        <w:rPr>
          <w:lang w:val="en-GB"/>
        </w:rPr>
        <w:t>L samples</w:t>
      </w:r>
      <w:r w:rsidR="004004A5" w:rsidRPr="005664BA">
        <w:rPr>
          <w:lang w:val="en-GB"/>
        </w:rPr>
        <w:t xml:space="preserve"> f</w:t>
      </w:r>
      <w:r w:rsidR="00DB2902" w:rsidRPr="005664BA">
        <w:rPr>
          <w:lang w:val="en-GB"/>
        </w:rPr>
        <w:t>rom the feed solution vessel</w:t>
      </w:r>
      <w:r w:rsidR="00511370">
        <w:rPr>
          <w:lang w:val="en-GB"/>
        </w:rPr>
        <w:t xml:space="preserve">, </w:t>
      </w:r>
      <w:r w:rsidR="00EA53C1">
        <w:rPr>
          <w:lang w:val="en-GB"/>
        </w:rPr>
        <w:t>the measure</w:t>
      </w:r>
      <w:r w:rsidR="00450B2D">
        <w:rPr>
          <w:lang w:val="en-GB"/>
        </w:rPr>
        <w:t>s</w:t>
      </w:r>
      <w:r w:rsidR="00EA53C1">
        <w:rPr>
          <w:lang w:val="en-GB"/>
        </w:rPr>
        <w:t xml:space="preserve"> were realized in triplicate</w:t>
      </w:r>
      <w:r w:rsidR="00DB2902" w:rsidRPr="005664BA">
        <w:rPr>
          <w:lang w:val="en-GB"/>
        </w:rPr>
        <w:t>.</w:t>
      </w:r>
      <w:r w:rsidR="008A49F9" w:rsidRPr="005664BA">
        <w:rPr>
          <w:lang w:val="en-GB"/>
        </w:rPr>
        <w:t xml:space="preserve"> The water</w:t>
      </w:r>
      <w:r w:rsidR="00DB2902" w:rsidRPr="005664BA">
        <w:rPr>
          <w:lang w:val="en-GB"/>
        </w:rPr>
        <w:t xml:space="preserve"> content of the </w:t>
      </w:r>
      <w:r w:rsidR="00511370" w:rsidRPr="005664BA">
        <w:rPr>
          <w:lang w:val="en-GB"/>
        </w:rPr>
        <w:t>extractant</w:t>
      </w:r>
      <w:r w:rsidR="00DB2902" w:rsidRPr="005664BA">
        <w:rPr>
          <w:lang w:val="en-GB"/>
        </w:rPr>
        <w:t xml:space="preserve"> phase</w:t>
      </w:r>
      <w:r w:rsidR="008A49F9" w:rsidRPr="005664BA">
        <w:rPr>
          <w:lang w:val="en-GB"/>
        </w:rPr>
        <w:t xml:space="preserve"> </w:t>
      </w:r>
      <w:r w:rsidR="004004A5" w:rsidRPr="005664BA">
        <w:rPr>
          <w:lang w:val="en-GB"/>
        </w:rPr>
        <w:t xml:space="preserve">was </w:t>
      </w:r>
      <w:r w:rsidR="008A49F9" w:rsidRPr="005664BA">
        <w:rPr>
          <w:lang w:val="en-GB"/>
        </w:rPr>
        <w:t>quantified using a Metrohm KF 831 Karl Fischer titrator.</w:t>
      </w:r>
      <w:r w:rsidR="00434113" w:rsidRPr="005664BA">
        <w:rPr>
          <w:lang w:val="en-GB"/>
        </w:rPr>
        <w:t xml:space="preserve"> </w:t>
      </w:r>
    </w:p>
    <w:p w14:paraId="0E3B89F8" w14:textId="1D28B4C8" w:rsidR="00733E38" w:rsidRPr="005664BA" w:rsidRDefault="00733E38" w:rsidP="00A22766">
      <w:pPr>
        <w:pStyle w:val="CETBodytext"/>
        <w:rPr>
          <w:lang w:val="en-GB"/>
        </w:rPr>
      </w:pPr>
    </w:p>
    <w:p w14:paraId="3DAC0D49" w14:textId="02B458FD" w:rsidR="00733E38" w:rsidRPr="005664BA" w:rsidRDefault="00733E38" w:rsidP="00A22766">
      <w:pPr>
        <w:pStyle w:val="CETBodytext"/>
        <w:rPr>
          <w:lang w:val="en-GB"/>
        </w:rPr>
      </w:pPr>
      <w:r w:rsidRPr="005664BA">
        <w:rPr>
          <w:lang w:val="en-GB"/>
        </w:rPr>
        <w:object w:dxaOrig="3948" w:dyaOrig="3288" w14:anchorId="0C16F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68pt" o:ole="">
            <v:imagedata r:id="rId12" o:title=""/>
          </v:shape>
          <o:OLEObject Type="Embed" ProgID="PBrush" ShapeID="_x0000_i1025" DrawAspect="Content" ObjectID="_1720384524" r:id="rId13"/>
        </w:object>
      </w:r>
    </w:p>
    <w:p w14:paraId="5BC6831A" w14:textId="71DEE76A" w:rsidR="00733E38" w:rsidRPr="005664BA" w:rsidRDefault="00733E38" w:rsidP="00A82DA5">
      <w:pPr>
        <w:pStyle w:val="CETCaption"/>
      </w:pPr>
      <w:r w:rsidRPr="005664BA">
        <w:t>Figure 1: Experimental setup for perstraction process</w:t>
      </w:r>
    </w:p>
    <w:p w14:paraId="0352B631" w14:textId="1E4E0971" w:rsidR="00974BA5" w:rsidRPr="005664BA" w:rsidRDefault="00974BA5" w:rsidP="000F08BB">
      <w:pPr>
        <w:pStyle w:val="CETheadingx"/>
      </w:pPr>
      <w:r w:rsidRPr="005664BA">
        <w:t>Experimental responses</w:t>
      </w:r>
    </w:p>
    <w:p w14:paraId="476E105D" w14:textId="49D10F1B" w:rsidR="00363A5A" w:rsidRPr="005664BA" w:rsidRDefault="00884A32" w:rsidP="00974BA5">
      <w:pPr>
        <w:pStyle w:val="CETHeading1"/>
        <w:numPr>
          <w:ilvl w:val="0"/>
          <w:numId w:val="0"/>
        </w:numPr>
        <w:rPr>
          <w:b w:val="0"/>
          <w:sz w:val="18"/>
          <w:lang w:val="en-GB"/>
        </w:rPr>
      </w:pPr>
      <w:r w:rsidRPr="005664BA">
        <w:rPr>
          <w:b w:val="0"/>
          <w:sz w:val="18"/>
          <w:lang w:val="en-GB"/>
        </w:rPr>
        <w:t xml:space="preserve">The experimental responses </w:t>
      </w:r>
      <w:r w:rsidR="00AA3E96" w:rsidRPr="005664BA">
        <w:rPr>
          <w:b w:val="0"/>
          <w:sz w:val="18"/>
          <w:lang w:val="en-GB"/>
        </w:rPr>
        <w:t>were the extraction percentage (</w:t>
      </w:r>
      <m:oMath>
        <m:r>
          <m:rPr>
            <m:sty m:val="bi"/>
          </m:rPr>
          <w:rPr>
            <w:rFonts w:ascii="Cambria Math" w:hAnsi="Cambria Math"/>
            <w:lang w:val="en-GB"/>
          </w:rPr>
          <m:t>E%</m:t>
        </m:r>
      </m:oMath>
      <w:r w:rsidR="00B65C75" w:rsidRPr="005664BA">
        <w:rPr>
          <w:b w:val="0"/>
          <w:sz w:val="18"/>
          <w:lang w:val="en-GB"/>
        </w:rPr>
        <w:t xml:space="preserve">), </w:t>
      </w:r>
      <w:r w:rsidR="00E86BBD" w:rsidRPr="005664BA">
        <w:rPr>
          <w:b w:val="0"/>
          <w:sz w:val="18"/>
          <w:lang w:val="en-GB"/>
        </w:rPr>
        <w:t>the transmembrane</w:t>
      </w:r>
      <w:r w:rsidR="00AA3E96" w:rsidRPr="005664BA">
        <w:rPr>
          <w:b w:val="0"/>
          <w:sz w:val="18"/>
          <w:lang w:val="en-GB"/>
        </w:rPr>
        <w:t xml:space="preserve"> flux (</w:t>
      </w:r>
      <m:oMath>
        <m:sSub>
          <m:sSubPr>
            <m:ctrlPr>
              <w:rPr>
                <w:rFonts w:ascii="Cambria Math" w:hAnsi="Cambria Math"/>
                <w:i/>
                <w:lang w:val="en-GB"/>
              </w:rPr>
            </m:ctrlPr>
          </m:sSubPr>
          <m:e>
            <m:r>
              <m:rPr>
                <m:sty m:val="bi"/>
              </m:rPr>
              <w:rPr>
                <w:rFonts w:ascii="Cambria Math" w:hAnsi="Cambria Math"/>
                <w:lang w:val="en-GB"/>
              </w:rPr>
              <m:t>N</m:t>
            </m:r>
          </m:e>
          <m:sub>
            <m:r>
              <m:rPr>
                <m:sty m:val="bi"/>
              </m:rPr>
              <w:rPr>
                <w:rFonts w:ascii="Cambria Math" w:hAnsi="Cambria Math"/>
                <w:lang w:val="en-GB"/>
              </w:rPr>
              <m:t>t</m:t>
            </m:r>
          </m:sub>
        </m:sSub>
      </m:oMath>
      <w:r w:rsidR="00AA3E96" w:rsidRPr="005664BA">
        <w:rPr>
          <w:b w:val="0"/>
          <w:sz w:val="18"/>
          <w:lang w:val="en-GB"/>
        </w:rPr>
        <w:t>) in kg m</w:t>
      </w:r>
      <w:r w:rsidR="00AA3E96" w:rsidRPr="005664BA">
        <w:rPr>
          <w:b w:val="0"/>
          <w:sz w:val="18"/>
          <w:vertAlign w:val="superscript"/>
          <w:lang w:val="en-GB"/>
        </w:rPr>
        <w:t>−2</w:t>
      </w:r>
      <w:r w:rsidR="00AA3E96" w:rsidRPr="005664BA">
        <w:rPr>
          <w:b w:val="0"/>
          <w:sz w:val="18"/>
          <w:lang w:val="en-GB"/>
        </w:rPr>
        <w:t xml:space="preserve"> h</w:t>
      </w:r>
      <w:r w:rsidR="00AA3E96" w:rsidRPr="005664BA">
        <w:rPr>
          <w:b w:val="0"/>
          <w:sz w:val="18"/>
          <w:vertAlign w:val="superscript"/>
          <w:lang w:val="en-GB"/>
        </w:rPr>
        <w:t>−1</w:t>
      </w:r>
      <w:r w:rsidR="00AA3E96" w:rsidRPr="005664BA">
        <w:rPr>
          <w:b w:val="0"/>
          <w:sz w:val="18"/>
          <w:lang w:val="en-GB"/>
        </w:rPr>
        <w:t xml:space="preserve"> of the solute </w:t>
      </w:r>
      <w:r w:rsidR="00B65C75" w:rsidRPr="005664BA">
        <w:rPr>
          <w:b w:val="0"/>
          <w:sz w:val="18"/>
          <w:lang w:val="en-GB"/>
        </w:rPr>
        <w:t>i</w:t>
      </w:r>
      <w:r w:rsidRPr="005664BA">
        <w:rPr>
          <w:b w:val="0"/>
          <w:sz w:val="18"/>
          <w:lang w:val="en-GB"/>
        </w:rPr>
        <w:t xml:space="preserve"> </w:t>
      </w:r>
      <w:r w:rsidR="0066628A" w:rsidRPr="005664BA">
        <w:rPr>
          <w:b w:val="0"/>
          <w:sz w:val="18"/>
          <w:lang w:val="en-GB"/>
        </w:rPr>
        <w:t>and the</w:t>
      </w:r>
      <w:r w:rsidRPr="005664BA">
        <w:rPr>
          <w:b w:val="0"/>
          <w:sz w:val="18"/>
          <w:lang w:val="en-GB"/>
        </w:rPr>
        <w:t xml:space="preserve"> selectivity (</w:t>
      </w:r>
      <m:oMath>
        <m:sSub>
          <m:sSubPr>
            <m:ctrlPr>
              <w:rPr>
                <w:rFonts w:ascii="Cambria Math" w:hAnsi="Cambria Math"/>
                <w:i/>
                <w:lang w:val="en-GB"/>
              </w:rPr>
            </m:ctrlPr>
          </m:sSubPr>
          <m:e>
            <m:r>
              <m:rPr>
                <m:sty m:val="bi"/>
              </m:rPr>
              <w:rPr>
                <w:rFonts w:ascii="Cambria Math" w:hAnsi="Cambria Math"/>
                <w:lang w:val="en-GB"/>
              </w:rPr>
              <m:t>α</m:t>
            </m:r>
          </m:e>
          <m:sub>
            <m:r>
              <m:rPr>
                <m:sty m:val="bi"/>
              </m:rPr>
              <w:rPr>
                <w:rFonts w:ascii="Cambria Math" w:hAnsi="Cambria Math"/>
                <w:lang w:val="en-GB"/>
              </w:rPr>
              <m:t>i/w</m:t>
            </m:r>
          </m:sub>
        </m:sSub>
      </m:oMath>
      <w:r w:rsidR="005228BA" w:rsidRPr="005664BA">
        <w:rPr>
          <w:b w:val="0"/>
          <w:sz w:val="18"/>
          <w:lang w:val="en-GB"/>
        </w:rPr>
        <w:t>)</w:t>
      </w:r>
      <w:r w:rsidRPr="005664BA">
        <w:rPr>
          <w:b w:val="0"/>
          <w:sz w:val="18"/>
          <w:lang w:val="en-GB"/>
        </w:rPr>
        <w:t xml:space="preserve"> </w:t>
      </w:r>
      <w:r w:rsidR="00AA3E96" w:rsidRPr="005664BA">
        <w:rPr>
          <w:b w:val="0"/>
          <w:sz w:val="18"/>
          <w:lang w:val="en-GB"/>
        </w:rPr>
        <w:t>which can be estimated by the following equations:</w:t>
      </w:r>
    </w:p>
    <w:p w14:paraId="1E59E8EA" w14:textId="77777777" w:rsidR="00236C83" w:rsidRPr="005664BA" w:rsidRDefault="00236C83" w:rsidP="00A82DA5">
      <w:pPr>
        <w:pStyle w:val="CETBodytext"/>
        <w:rPr>
          <w:lang w:val="en-GB"/>
        </w:rPr>
      </w:pPr>
    </w:p>
    <w:tbl>
      <w:tblPr>
        <w:tblW w:w="5000" w:type="pct"/>
        <w:tblLook w:val="04A0" w:firstRow="1" w:lastRow="0" w:firstColumn="1" w:lastColumn="0" w:noHBand="0" w:noVBand="1"/>
      </w:tblPr>
      <w:tblGrid>
        <w:gridCol w:w="7996"/>
        <w:gridCol w:w="791"/>
      </w:tblGrid>
      <w:tr w:rsidR="00236C83" w:rsidRPr="005664BA" w14:paraId="41D1BF00" w14:textId="77777777" w:rsidTr="009A50D3">
        <w:tc>
          <w:tcPr>
            <w:tcW w:w="7996" w:type="dxa"/>
            <w:shd w:val="clear" w:color="auto" w:fill="auto"/>
          </w:tcPr>
          <w:p w14:paraId="34A26EB7" w14:textId="40D5FF6A" w:rsidR="00236C83" w:rsidRPr="005664BA" w:rsidRDefault="00236C83" w:rsidP="009A50D3">
            <w:pPr>
              <w:pStyle w:val="CETEquation"/>
            </w:pPr>
            <m:oMathPara>
              <m:oMathParaPr>
                <m:jc m:val="left"/>
              </m:oMathParaPr>
              <m:oMath>
                <m:r>
                  <w:rPr>
                    <w:rFonts w:ascii="Cambria Math" w:hAnsi="Cambria Math"/>
                  </w:rPr>
                  <m:t>E%=</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i,t+∆t</m:t>
                        </m:r>
                      </m:sub>
                    </m:sSub>
                    <m:r>
                      <w:rPr>
                        <w:rFonts w:ascii="Cambria Math" w:hAnsi="Cambria Math"/>
                      </w:rPr>
                      <m:t>)</m:t>
                    </m:r>
                  </m:num>
                  <m:den>
                    <m:sSub>
                      <m:sSubPr>
                        <m:ctrlPr>
                          <w:rPr>
                            <w:rFonts w:ascii="Cambria Math" w:hAnsi="Cambria Math"/>
                            <w:i/>
                          </w:rPr>
                        </m:ctrlPr>
                      </m:sSubPr>
                      <m:e>
                        <m:r>
                          <w:rPr>
                            <w:rFonts w:ascii="Cambria Math" w:hAnsi="Cambria Math"/>
                          </w:rPr>
                          <m:t>C</m:t>
                        </m:r>
                      </m:e>
                      <m:sub>
                        <m:r>
                          <w:rPr>
                            <w:rFonts w:ascii="Cambria Math" w:hAnsi="Cambria Math"/>
                          </w:rPr>
                          <m:t>i,t=0</m:t>
                        </m:r>
                      </m:sub>
                    </m:sSub>
                  </m:den>
                </m:f>
                <m:r>
                  <w:rPr>
                    <w:rFonts w:ascii="Cambria Math" w:hAnsi="Cambria Math"/>
                  </w:rPr>
                  <m:t>∙100</m:t>
                </m:r>
              </m:oMath>
            </m:oMathPara>
          </w:p>
        </w:tc>
        <w:tc>
          <w:tcPr>
            <w:tcW w:w="791" w:type="dxa"/>
            <w:shd w:val="clear" w:color="auto" w:fill="auto"/>
          </w:tcPr>
          <w:p w14:paraId="567E2EAE" w14:textId="6BC3DF5B" w:rsidR="00236C83" w:rsidRPr="005664BA" w:rsidRDefault="00C54958" w:rsidP="009A50D3">
            <w:pPr>
              <w:pStyle w:val="CETEquation"/>
              <w:jc w:val="right"/>
            </w:pPr>
            <w:r w:rsidRPr="005664BA">
              <w:t>(1)</w:t>
            </w:r>
          </w:p>
        </w:tc>
      </w:tr>
      <w:tr w:rsidR="009A50D3" w:rsidRPr="005664BA" w14:paraId="055A6F3A" w14:textId="77777777" w:rsidTr="009A50D3">
        <w:tc>
          <w:tcPr>
            <w:tcW w:w="7996" w:type="dxa"/>
            <w:shd w:val="clear" w:color="auto" w:fill="auto"/>
          </w:tcPr>
          <w:p w14:paraId="46A6652D" w14:textId="14FB0C54" w:rsidR="009A50D3" w:rsidRPr="005664BA" w:rsidRDefault="00000000" w:rsidP="009A50D3">
            <w:pPr>
              <w:pStyle w:val="CETEquation"/>
              <w:rPr>
                <w:rFonts w:ascii="Cambria Math" w:hAnsi="Cambria Math"/>
                <w:oMath/>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A</m:t>
                    </m:r>
                  </m:den>
                </m:f>
                <m:f>
                  <m:fPr>
                    <m:ctrlPr>
                      <w:rPr>
                        <w:rFonts w:ascii="Cambria Math" w:hAnsi="Cambria Math"/>
                        <w:i/>
                      </w:rPr>
                    </m:ctrlPr>
                  </m:fPr>
                  <m:num>
                    <m:r>
                      <w:rPr>
                        <w:rFonts w:ascii="Cambria Math" w:hAnsi="Cambria Math"/>
                      </w:rPr>
                      <m:t>dC</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A</m:t>
                    </m:r>
                  </m:den>
                </m:f>
                <m:f>
                  <m:fPr>
                    <m:ctrlPr>
                      <w:rPr>
                        <w:rFonts w:ascii="Cambria Math" w:hAnsi="Cambria Math"/>
                        <w:i/>
                      </w:rPr>
                    </m:ctrlPr>
                  </m:fPr>
                  <m:num>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i, t+∆t</m:t>
                            </m:r>
                          </m:sub>
                        </m:sSub>
                        <m:r>
                          <w:rPr>
                            <w:rFonts w:ascii="Cambria Math" w:hAnsi="Cambria Math"/>
                          </w:rPr>
                          <m:t>-C</m:t>
                        </m:r>
                      </m:e>
                      <m:sub>
                        <m:r>
                          <w:rPr>
                            <w:rFonts w:ascii="Cambria Math" w:hAnsi="Cambria Math"/>
                          </w:rPr>
                          <m:t>i,t</m:t>
                        </m:r>
                      </m:sub>
                    </m:sSub>
                    <m:r>
                      <w:rPr>
                        <w:rFonts w:ascii="Cambria Math" w:hAnsi="Cambria Math"/>
                      </w:rPr>
                      <m:t>)</m:t>
                    </m:r>
                  </m:num>
                  <m:den>
                    <m:r>
                      <w:rPr>
                        <w:rFonts w:ascii="Cambria Math" w:hAnsi="Cambria Math"/>
                      </w:rPr>
                      <m:t>∆t</m:t>
                    </m:r>
                  </m:den>
                </m:f>
              </m:oMath>
            </m:oMathPara>
          </w:p>
        </w:tc>
        <w:tc>
          <w:tcPr>
            <w:tcW w:w="791" w:type="dxa"/>
            <w:shd w:val="clear" w:color="auto" w:fill="auto"/>
          </w:tcPr>
          <w:p w14:paraId="78844510" w14:textId="325789DB" w:rsidR="009A50D3" w:rsidRPr="005664BA" w:rsidRDefault="009A50D3" w:rsidP="009A50D3">
            <w:pPr>
              <w:pStyle w:val="CETEquation"/>
              <w:jc w:val="right"/>
            </w:pPr>
            <w:r w:rsidRPr="005664BA">
              <w:t>(</w:t>
            </w:r>
            <w:r w:rsidR="00236C83" w:rsidRPr="005664BA">
              <w:t>2</w:t>
            </w:r>
            <w:r w:rsidRPr="005664BA">
              <w:t>)</w:t>
            </w:r>
          </w:p>
        </w:tc>
      </w:tr>
      <w:tr w:rsidR="001D02DC" w:rsidRPr="005664BA" w14:paraId="7D0E14E3" w14:textId="77777777" w:rsidTr="009A50D3">
        <w:tc>
          <w:tcPr>
            <w:tcW w:w="7996" w:type="dxa"/>
            <w:shd w:val="clear" w:color="auto" w:fill="auto"/>
          </w:tcPr>
          <w:p w14:paraId="25276B88" w14:textId="01C5AF15" w:rsidR="001D02DC" w:rsidRPr="005664BA" w:rsidRDefault="00000000" w:rsidP="009A50D3">
            <w:pPr>
              <w:pStyle w:val="CETEquation"/>
            </w:pPr>
            <m:oMathPara>
              <m:oMathParaPr>
                <m:jc m:val="left"/>
              </m:oMathParaPr>
              <m:oMath>
                <m:sSub>
                  <m:sSubPr>
                    <m:ctrlPr>
                      <w:rPr>
                        <w:rFonts w:ascii="Cambria Math" w:hAnsi="Cambria Math"/>
                        <w:i/>
                      </w:rPr>
                    </m:ctrlPr>
                  </m:sSubPr>
                  <m:e>
                    <m:r>
                      <w:rPr>
                        <w:rFonts w:ascii="Cambria Math" w:hAnsi="Cambria Math"/>
                      </w:rPr>
                      <m:t>α</m:t>
                    </m:r>
                  </m:e>
                  <m:sub>
                    <m:r>
                      <w:rPr>
                        <w:rFonts w:ascii="Cambria Math" w:hAnsi="Cambria Math"/>
                      </w:rPr>
                      <m:t>i/w</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IL</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aq</m:t>
                        </m:r>
                      </m:sup>
                    </m:sSubSup>
                  </m:num>
                  <m:den>
                    <m:sSubSup>
                      <m:sSubSupPr>
                        <m:ctrlPr>
                          <w:rPr>
                            <w:rFonts w:ascii="Cambria Math" w:hAnsi="Cambria Math"/>
                            <w:i/>
                          </w:rPr>
                        </m:ctrlPr>
                      </m:sSubSupPr>
                      <m:e>
                        <m:r>
                          <w:rPr>
                            <w:rFonts w:ascii="Cambria Math" w:hAnsi="Cambria Math"/>
                          </w:rPr>
                          <m:t>C</m:t>
                        </m:r>
                      </m:e>
                      <m:sub>
                        <m:r>
                          <w:rPr>
                            <w:rFonts w:ascii="Cambria Math" w:hAnsi="Cambria Math"/>
                          </w:rPr>
                          <m:t>w</m:t>
                        </m:r>
                      </m:sub>
                      <m:sup>
                        <m:r>
                          <w:rPr>
                            <w:rFonts w:ascii="Cambria Math" w:hAnsi="Cambria Math"/>
                          </w:rPr>
                          <m:t>IL</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w</m:t>
                        </m:r>
                      </m:sub>
                      <m:sup>
                        <m:r>
                          <w:rPr>
                            <w:rFonts w:ascii="Cambria Math" w:hAnsi="Cambria Math"/>
                          </w:rPr>
                          <m:t>aq</m:t>
                        </m:r>
                      </m:sup>
                    </m:sSubSup>
                  </m:den>
                </m:f>
              </m:oMath>
            </m:oMathPara>
          </w:p>
        </w:tc>
        <w:tc>
          <w:tcPr>
            <w:tcW w:w="791" w:type="dxa"/>
            <w:shd w:val="clear" w:color="auto" w:fill="auto"/>
          </w:tcPr>
          <w:p w14:paraId="74550783" w14:textId="6E06ACA9" w:rsidR="001D02DC" w:rsidRPr="005664BA" w:rsidRDefault="001C7265" w:rsidP="009A50D3">
            <w:pPr>
              <w:pStyle w:val="CETEquation"/>
              <w:jc w:val="right"/>
            </w:pPr>
            <w:r w:rsidRPr="005664BA">
              <w:t>(3)</w:t>
            </w:r>
          </w:p>
        </w:tc>
      </w:tr>
    </w:tbl>
    <w:p w14:paraId="3737E68B" w14:textId="0DF4ECF0" w:rsidR="00363A5A" w:rsidRPr="005664BA" w:rsidRDefault="00363A5A" w:rsidP="00CC0E7A">
      <w:pPr>
        <w:pStyle w:val="CETBodytext"/>
        <w:rPr>
          <w:lang w:val="en-GB"/>
        </w:rPr>
      </w:pPr>
    </w:p>
    <w:p w14:paraId="08326EFC" w14:textId="72B6BFD3" w:rsidR="00884A32" w:rsidRPr="005664BA" w:rsidRDefault="00884A32" w:rsidP="00CC0E7A">
      <w:pPr>
        <w:pStyle w:val="CETBodytext"/>
        <w:rPr>
          <w:lang w:val="en-GB"/>
        </w:rPr>
      </w:pPr>
      <w:r w:rsidRPr="005664BA">
        <w:rPr>
          <w:lang w:val="en-GB"/>
        </w:rPr>
        <w:t xml:space="preserve">In this study, the performance of the perstraction process was assessed as a function of </w:t>
      </w:r>
      <w:r w:rsidR="00F266CF" w:rsidRPr="005664BA">
        <w:rPr>
          <w:lang w:val="en-GB"/>
        </w:rPr>
        <w:t>the temperature</w:t>
      </w:r>
      <w:r w:rsidRPr="005664BA">
        <w:rPr>
          <w:lang w:val="en-GB"/>
        </w:rPr>
        <w:t xml:space="preserve"> of the feed solution</w:t>
      </w:r>
      <w:r w:rsidR="00E35726" w:rsidRPr="005664BA">
        <w:rPr>
          <w:lang w:val="en-GB"/>
        </w:rPr>
        <w:t xml:space="preserve"> (fs)</w:t>
      </w:r>
      <w:r w:rsidRPr="005664BA">
        <w:rPr>
          <w:lang w:val="en-GB"/>
        </w:rPr>
        <w:t xml:space="preserve"> and </w:t>
      </w:r>
      <w:r w:rsidR="00E86BBD" w:rsidRPr="005664BA">
        <w:rPr>
          <w:lang w:val="en-GB"/>
        </w:rPr>
        <w:t xml:space="preserve">the </w:t>
      </w:r>
      <w:r w:rsidRPr="005664BA">
        <w:rPr>
          <w:lang w:val="en-GB"/>
        </w:rPr>
        <w:t xml:space="preserve">ionic </w:t>
      </w:r>
      <w:r w:rsidR="00F21BD2" w:rsidRPr="005664BA">
        <w:rPr>
          <w:lang w:val="en-GB"/>
        </w:rPr>
        <w:t>liquid</w:t>
      </w:r>
      <w:r w:rsidR="00E35726" w:rsidRPr="005664BA">
        <w:rPr>
          <w:lang w:val="en-GB"/>
        </w:rPr>
        <w:t xml:space="preserve"> (IL)</w:t>
      </w:r>
      <w:r w:rsidR="00F21BD2" w:rsidRPr="005664BA">
        <w:rPr>
          <w:lang w:val="en-GB"/>
        </w:rPr>
        <w:t xml:space="preserve"> phase</w:t>
      </w:r>
      <w:r w:rsidR="00A50BC0" w:rsidRPr="005664BA">
        <w:rPr>
          <w:lang w:val="en-GB"/>
        </w:rPr>
        <w:t xml:space="preserve">, with </w:t>
      </w:r>
      <w:r w:rsidR="00412DD5" w:rsidRPr="005664BA">
        <w:rPr>
          <w:lang w:val="en-GB"/>
        </w:rPr>
        <w:t>four</w:t>
      </w:r>
      <w:r w:rsidR="00A50BC0" w:rsidRPr="005664BA">
        <w:rPr>
          <w:lang w:val="en-GB"/>
        </w:rPr>
        <w:t xml:space="preserve"> set</w:t>
      </w:r>
      <w:r w:rsidR="00E86BBD" w:rsidRPr="005664BA">
        <w:rPr>
          <w:lang w:val="en-GB"/>
        </w:rPr>
        <w:t>s</w:t>
      </w:r>
      <w:r w:rsidR="00A50BC0" w:rsidRPr="005664BA">
        <w:rPr>
          <w:lang w:val="en-GB"/>
        </w:rPr>
        <w:t xml:space="preserve"> of experimental runs: </w:t>
      </w:r>
      <w:r w:rsidR="00412DD5" w:rsidRPr="005664BA">
        <w:rPr>
          <w:lang w:val="en-GB"/>
        </w:rPr>
        <w:t xml:space="preserve">i) </w:t>
      </w:r>
      <w:r w:rsidR="00B65C75" w:rsidRPr="005664BA">
        <w:rPr>
          <w:lang w:val="en-GB"/>
        </w:rPr>
        <w:t>fs</w:t>
      </w:r>
      <w:r w:rsidR="00D0231B" w:rsidRPr="005664BA">
        <w:rPr>
          <w:lang w:val="en-GB"/>
        </w:rPr>
        <w:t xml:space="preserve"> </w:t>
      </w:r>
      <w:r w:rsidR="00412DD5" w:rsidRPr="005664BA">
        <w:rPr>
          <w:lang w:val="en-GB"/>
        </w:rPr>
        <w:t>0</w:t>
      </w:r>
      <w:r w:rsidR="004A0A3A">
        <w:rPr>
          <w:lang w:val="en-GB"/>
        </w:rPr>
        <w:t xml:space="preserve"> </w:t>
      </w:r>
      <w:r w:rsidR="00412DD5" w:rsidRPr="005664BA">
        <w:rPr>
          <w:lang w:val="en-GB"/>
        </w:rPr>
        <w:t>°C</w:t>
      </w:r>
      <w:r w:rsidR="00D0231B" w:rsidRPr="005664BA">
        <w:rPr>
          <w:lang w:val="en-GB"/>
        </w:rPr>
        <w:t xml:space="preserve"> </w:t>
      </w:r>
      <w:r w:rsidR="00412DD5" w:rsidRPr="005664BA">
        <w:rPr>
          <w:lang w:val="en-GB"/>
        </w:rPr>
        <w:t>-</w:t>
      </w:r>
      <w:r w:rsidR="00D0231B" w:rsidRPr="005664BA">
        <w:rPr>
          <w:lang w:val="en-GB"/>
        </w:rPr>
        <w:t xml:space="preserve"> </w:t>
      </w:r>
      <w:r w:rsidR="00412DD5" w:rsidRPr="005664BA">
        <w:rPr>
          <w:lang w:val="en-GB"/>
        </w:rPr>
        <w:t>IL</w:t>
      </w:r>
      <w:r w:rsidR="00D0231B" w:rsidRPr="005664BA">
        <w:rPr>
          <w:lang w:val="en-GB"/>
        </w:rPr>
        <w:t xml:space="preserve"> </w:t>
      </w:r>
      <w:r w:rsidR="00412DD5" w:rsidRPr="005664BA">
        <w:rPr>
          <w:lang w:val="en-GB"/>
        </w:rPr>
        <w:t>30</w:t>
      </w:r>
      <w:r w:rsidR="004A0A3A">
        <w:rPr>
          <w:lang w:val="en-GB"/>
        </w:rPr>
        <w:t xml:space="preserve"> </w:t>
      </w:r>
      <w:r w:rsidR="00412DD5" w:rsidRPr="005664BA">
        <w:rPr>
          <w:lang w:val="en-GB"/>
        </w:rPr>
        <w:t xml:space="preserve">°C, ii) </w:t>
      </w:r>
      <w:r w:rsidR="00B65C75" w:rsidRPr="005664BA">
        <w:rPr>
          <w:lang w:val="en-GB"/>
        </w:rPr>
        <w:t>fs</w:t>
      </w:r>
      <w:r w:rsidR="00D0231B" w:rsidRPr="005664BA">
        <w:rPr>
          <w:lang w:val="en-GB"/>
        </w:rPr>
        <w:t xml:space="preserve"> </w:t>
      </w:r>
      <w:r w:rsidR="00412DD5" w:rsidRPr="005664BA">
        <w:rPr>
          <w:lang w:val="en-GB"/>
        </w:rPr>
        <w:t>30</w:t>
      </w:r>
      <w:r w:rsidR="004A0A3A">
        <w:rPr>
          <w:lang w:val="en-GB"/>
        </w:rPr>
        <w:t xml:space="preserve"> </w:t>
      </w:r>
      <w:r w:rsidR="00412DD5" w:rsidRPr="005664BA">
        <w:rPr>
          <w:lang w:val="en-GB"/>
        </w:rPr>
        <w:t>°C</w:t>
      </w:r>
      <w:r w:rsidR="00D0231B" w:rsidRPr="005664BA">
        <w:rPr>
          <w:lang w:val="en-GB"/>
        </w:rPr>
        <w:t xml:space="preserve"> – </w:t>
      </w:r>
      <w:r w:rsidR="00412DD5" w:rsidRPr="005664BA">
        <w:rPr>
          <w:lang w:val="en-GB"/>
        </w:rPr>
        <w:t>IL</w:t>
      </w:r>
      <w:r w:rsidR="00D0231B" w:rsidRPr="005664BA">
        <w:rPr>
          <w:lang w:val="en-GB"/>
        </w:rPr>
        <w:t xml:space="preserve"> </w:t>
      </w:r>
      <w:r w:rsidR="00412DD5" w:rsidRPr="005664BA">
        <w:rPr>
          <w:lang w:val="en-GB"/>
        </w:rPr>
        <w:t>30</w:t>
      </w:r>
      <w:r w:rsidR="004A0A3A">
        <w:rPr>
          <w:lang w:val="en-GB"/>
        </w:rPr>
        <w:t xml:space="preserve"> </w:t>
      </w:r>
      <w:r w:rsidR="00412DD5" w:rsidRPr="005664BA">
        <w:rPr>
          <w:lang w:val="en-GB"/>
        </w:rPr>
        <w:t xml:space="preserve">°C, iii) </w:t>
      </w:r>
      <w:r w:rsidR="00B65C75" w:rsidRPr="005664BA">
        <w:rPr>
          <w:lang w:val="en-GB"/>
        </w:rPr>
        <w:t>fs</w:t>
      </w:r>
      <w:r w:rsidR="00D0231B" w:rsidRPr="005664BA">
        <w:rPr>
          <w:lang w:val="en-GB"/>
        </w:rPr>
        <w:t xml:space="preserve"> </w:t>
      </w:r>
      <w:r w:rsidR="00412DD5" w:rsidRPr="005664BA">
        <w:rPr>
          <w:lang w:val="en-GB"/>
        </w:rPr>
        <w:t>60</w:t>
      </w:r>
      <w:r w:rsidR="004A0A3A">
        <w:rPr>
          <w:lang w:val="en-GB"/>
        </w:rPr>
        <w:t xml:space="preserve"> </w:t>
      </w:r>
      <w:r w:rsidR="00412DD5" w:rsidRPr="005664BA">
        <w:rPr>
          <w:lang w:val="en-GB"/>
        </w:rPr>
        <w:t>°C</w:t>
      </w:r>
      <w:r w:rsidR="00D0231B" w:rsidRPr="005664BA">
        <w:rPr>
          <w:lang w:val="en-GB"/>
        </w:rPr>
        <w:t xml:space="preserve"> </w:t>
      </w:r>
      <w:r w:rsidR="00412DD5" w:rsidRPr="005664BA">
        <w:rPr>
          <w:lang w:val="en-GB"/>
        </w:rPr>
        <w:t>-</w:t>
      </w:r>
      <w:r w:rsidR="00D0231B" w:rsidRPr="005664BA">
        <w:rPr>
          <w:lang w:val="en-GB"/>
        </w:rPr>
        <w:t xml:space="preserve"> </w:t>
      </w:r>
      <w:r w:rsidR="00412DD5" w:rsidRPr="005664BA">
        <w:rPr>
          <w:lang w:val="en-GB"/>
        </w:rPr>
        <w:t>IL</w:t>
      </w:r>
      <w:r w:rsidR="00D0231B" w:rsidRPr="005664BA">
        <w:rPr>
          <w:lang w:val="en-GB"/>
        </w:rPr>
        <w:t xml:space="preserve"> </w:t>
      </w:r>
      <w:r w:rsidR="00412DD5" w:rsidRPr="005664BA">
        <w:rPr>
          <w:lang w:val="en-GB"/>
        </w:rPr>
        <w:t>30</w:t>
      </w:r>
      <w:r w:rsidR="004A0A3A">
        <w:rPr>
          <w:lang w:val="en-GB"/>
        </w:rPr>
        <w:t xml:space="preserve"> </w:t>
      </w:r>
      <w:r w:rsidR="00412DD5" w:rsidRPr="005664BA">
        <w:rPr>
          <w:lang w:val="en-GB"/>
        </w:rPr>
        <w:t xml:space="preserve">°C, iv)  </w:t>
      </w:r>
      <w:r w:rsidR="00B65C75" w:rsidRPr="005664BA">
        <w:rPr>
          <w:lang w:val="en-GB"/>
        </w:rPr>
        <w:t>fs</w:t>
      </w:r>
      <w:r w:rsidR="00D0231B" w:rsidRPr="005664BA">
        <w:rPr>
          <w:lang w:val="en-GB"/>
        </w:rPr>
        <w:t xml:space="preserve"> </w:t>
      </w:r>
      <w:r w:rsidR="00412DD5" w:rsidRPr="005664BA">
        <w:rPr>
          <w:lang w:val="en-GB"/>
        </w:rPr>
        <w:t>30</w:t>
      </w:r>
      <w:r w:rsidR="004A0A3A">
        <w:rPr>
          <w:lang w:val="en-GB"/>
        </w:rPr>
        <w:t xml:space="preserve"> </w:t>
      </w:r>
      <w:r w:rsidR="00412DD5" w:rsidRPr="005664BA">
        <w:rPr>
          <w:lang w:val="en-GB"/>
        </w:rPr>
        <w:t>°C</w:t>
      </w:r>
      <w:r w:rsidR="00D0231B" w:rsidRPr="005664BA">
        <w:rPr>
          <w:lang w:val="en-GB"/>
        </w:rPr>
        <w:t xml:space="preserve"> – </w:t>
      </w:r>
      <w:r w:rsidR="00412DD5" w:rsidRPr="005664BA">
        <w:rPr>
          <w:lang w:val="en-GB"/>
        </w:rPr>
        <w:t>IL</w:t>
      </w:r>
      <w:r w:rsidR="00D0231B" w:rsidRPr="005664BA">
        <w:rPr>
          <w:lang w:val="en-GB"/>
        </w:rPr>
        <w:t xml:space="preserve"> </w:t>
      </w:r>
      <w:r w:rsidR="00412DD5" w:rsidRPr="005664BA">
        <w:rPr>
          <w:lang w:val="en-GB"/>
        </w:rPr>
        <w:t>60</w:t>
      </w:r>
      <w:r w:rsidR="004A0A3A">
        <w:rPr>
          <w:lang w:val="en-GB"/>
        </w:rPr>
        <w:t xml:space="preserve"> </w:t>
      </w:r>
      <w:r w:rsidR="00412DD5" w:rsidRPr="005664BA">
        <w:rPr>
          <w:lang w:val="en-GB"/>
        </w:rPr>
        <w:t>°C</w:t>
      </w:r>
      <w:r w:rsidR="00DF40D1" w:rsidRPr="005664BA">
        <w:rPr>
          <w:lang w:val="en-GB"/>
        </w:rPr>
        <w:t xml:space="preserve">, </w:t>
      </w:r>
      <w:r w:rsidR="00430FDB" w:rsidRPr="005664BA">
        <w:rPr>
          <w:lang w:val="en-GB"/>
        </w:rPr>
        <w:t xml:space="preserve">that were controlled trough </w:t>
      </w:r>
      <w:r w:rsidR="005F3747" w:rsidRPr="005664BA">
        <w:rPr>
          <w:lang w:val="en-GB"/>
        </w:rPr>
        <w:t xml:space="preserve">two </w:t>
      </w:r>
      <w:r w:rsidR="00F56231" w:rsidRPr="005664BA">
        <w:rPr>
          <w:lang w:val="en-GB"/>
        </w:rPr>
        <w:t>thermos</w:t>
      </w:r>
      <w:r w:rsidR="00430FDB" w:rsidRPr="005664BA">
        <w:rPr>
          <w:lang w:val="en-GB"/>
        </w:rPr>
        <w:t xml:space="preserve"> regulator bath</w:t>
      </w:r>
      <w:r w:rsidR="00412DD5" w:rsidRPr="005664BA">
        <w:rPr>
          <w:lang w:val="en-GB"/>
        </w:rPr>
        <w:t xml:space="preserve">. The </w:t>
      </w:r>
      <w:r w:rsidRPr="005664BA">
        <w:rPr>
          <w:lang w:val="en-GB"/>
        </w:rPr>
        <w:t>flow rates</w:t>
      </w:r>
      <w:r w:rsidR="00412DD5" w:rsidRPr="005664BA">
        <w:rPr>
          <w:lang w:val="en-GB"/>
        </w:rPr>
        <w:t xml:space="preserve"> of both phases </w:t>
      </w:r>
      <w:r w:rsidR="006E3808" w:rsidRPr="005664BA">
        <w:rPr>
          <w:lang w:val="en-GB"/>
        </w:rPr>
        <w:t>were</w:t>
      </w:r>
      <w:r w:rsidR="00412DD5" w:rsidRPr="005664BA">
        <w:rPr>
          <w:lang w:val="en-GB"/>
        </w:rPr>
        <w:t xml:space="preserve"> constant an equal to 0.9</w:t>
      </w:r>
      <w:r w:rsidRPr="005664BA">
        <w:rPr>
          <w:lang w:val="en-GB"/>
        </w:rPr>
        <w:t xml:space="preserve"> L min</w:t>
      </w:r>
      <w:r w:rsidRPr="005664BA">
        <w:rPr>
          <w:vertAlign w:val="superscript"/>
          <w:lang w:val="en-GB"/>
        </w:rPr>
        <w:t>−</w:t>
      </w:r>
      <w:r w:rsidR="00F21BD2" w:rsidRPr="005664BA">
        <w:rPr>
          <w:vertAlign w:val="superscript"/>
          <w:lang w:val="en-GB"/>
        </w:rPr>
        <w:t>1</w:t>
      </w:r>
      <w:r w:rsidR="00F56231">
        <w:rPr>
          <w:lang w:val="en-GB"/>
        </w:rPr>
        <w:t xml:space="preserve"> and</w:t>
      </w:r>
      <w:r w:rsidR="0024239B">
        <w:rPr>
          <w:lang w:val="en-GB"/>
        </w:rPr>
        <w:t xml:space="preserve"> </w:t>
      </w:r>
      <w:r w:rsidR="00F56231">
        <w:rPr>
          <w:lang w:val="en-GB"/>
        </w:rPr>
        <w:t>t</w:t>
      </w:r>
      <w:r w:rsidR="00F21BD2" w:rsidRPr="005664BA">
        <w:rPr>
          <w:lang w:val="en-GB"/>
        </w:rPr>
        <w:t>he</w:t>
      </w:r>
      <w:r w:rsidRPr="005664BA">
        <w:rPr>
          <w:lang w:val="en-GB"/>
        </w:rPr>
        <w:t xml:space="preserve"> total volume of both phases was 125 mL each</w:t>
      </w:r>
      <w:r w:rsidR="00412DD5" w:rsidRPr="005664BA">
        <w:rPr>
          <w:lang w:val="en-GB"/>
        </w:rPr>
        <w:t>.</w:t>
      </w:r>
    </w:p>
    <w:p w14:paraId="07F4648F" w14:textId="67ED1419" w:rsidR="00412DD5" w:rsidRPr="005664BA" w:rsidRDefault="004C76EB" w:rsidP="004C76EB">
      <w:pPr>
        <w:pStyle w:val="CETHeading1"/>
        <w:rPr>
          <w:lang w:val="en-GB"/>
        </w:rPr>
      </w:pPr>
      <w:r w:rsidRPr="005664BA">
        <w:rPr>
          <w:lang w:val="en-GB"/>
        </w:rPr>
        <w:t>Results and discussion</w:t>
      </w:r>
    </w:p>
    <w:p w14:paraId="72366BE9" w14:textId="0D459728" w:rsidR="00544DDB" w:rsidRPr="005664BA" w:rsidRDefault="00544DDB" w:rsidP="000F08BB">
      <w:pPr>
        <w:pStyle w:val="CETheadingx"/>
      </w:pPr>
      <w:r w:rsidRPr="005664BA">
        <w:t>Extraction percentage of solutes</w:t>
      </w:r>
    </w:p>
    <w:p w14:paraId="0AF29E6E" w14:textId="3846BCF8" w:rsidR="0015412C" w:rsidRPr="005664BA" w:rsidRDefault="0015412C" w:rsidP="0015412C">
      <w:pPr>
        <w:pStyle w:val="CETBodytext"/>
        <w:rPr>
          <w:lang w:val="en-GB"/>
        </w:rPr>
      </w:pPr>
      <w:r w:rsidRPr="005664BA">
        <w:rPr>
          <w:lang w:val="en-GB"/>
        </w:rPr>
        <w:t>The pe</w:t>
      </w:r>
      <w:r w:rsidR="00C11234" w:rsidRPr="005664BA">
        <w:rPr>
          <w:lang w:val="en-GB"/>
        </w:rPr>
        <w:t>r</w:t>
      </w:r>
      <w:r w:rsidRPr="005664BA">
        <w:rPr>
          <w:lang w:val="en-GB"/>
        </w:rPr>
        <w:t xml:space="preserve">straction tests described in Section 2.2 were carried out </w:t>
      </w:r>
      <w:r w:rsidR="001248D2">
        <w:rPr>
          <w:lang w:val="en-GB"/>
        </w:rPr>
        <w:t>for all four conditions described previously.</w:t>
      </w:r>
      <w:r w:rsidRPr="005664BA">
        <w:rPr>
          <w:lang w:val="en-GB"/>
        </w:rPr>
        <w:t xml:space="preserve"> Thus, Fig</w:t>
      </w:r>
      <w:r w:rsidR="00F56231">
        <w:rPr>
          <w:lang w:val="en-GB"/>
        </w:rPr>
        <w:t>ure</w:t>
      </w:r>
      <w:r w:rsidRPr="005664BA">
        <w:rPr>
          <w:lang w:val="en-GB"/>
        </w:rPr>
        <w:t xml:space="preserve"> </w:t>
      </w:r>
      <w:r w:rsidR="00C11234" w:rsidRPr="005664BA">
        <w:rPr>
          <w:lang w:val="en-GB"/>
        </w:rPr>
        <w:t>2</w:t>
      </w:r>
      <w:r w:rsidRPr="005664BA">
        <w:rPr>
          <w:lang w:val="en-GB"/>
        </w:rPr>
        <w:t xml:space="preserve"> shows an example</w:t>
      </w:r>
      <w:r w:rsidR="00C11234" w:rsidRPr="005664BA">
        <w:rPr>
          <w:lang w:val="en-GB"/>
        </w:rPr>
        <w:t xml:space="preserve"> </w:t>
      </w:r>
      <w:r w:rsidRPr="005664BA">
        <w:rPr>
          <w:lang w:val="en-GB"/>
        </w:rPr>
        <w:t xml:space="preserve">of the results obtained in these experiments </w:t>
      </w:r>
    </w:p>
    <w:p w14:paraId="18B494C4" w14:textId="77777777" w:rsidR="0015412C" w:rsidRPr="005664BA" w:rsidRDefault="0015412C" w:rsidP="0015412C">
      <w:pPr>
        <w:pStyle w:val="CETBodytext"/>
        <w:rPr>
          <w:lang w:val="en-GB"/>
        </w:rPr>
      </w:pPr>
    </w:p>
    <w:p w14:paraId="5456E029" w14:textId="77777777" w:rsidR="0015412C" w:rsidRPr="005664BA" w:rsidRDefault="0015412C" w:rsidP="0015412C">
      <w:pPr>
        <w:pStyle w:val="CETBodytext"/>
        <w:rPr>
          <w:lang w:val="en-GB"/>
        </w:rPr>
      </w:pPr>
    </w:p>
    <w:p w14:paraId="31C9C612" w14:textId="75AEA2DD" w:rsidR="00412DD2" w:rsidRPr="005664BA" w:rsidRDefault="005228BA" w:rsidP="00CC0E7A">
      <w:pPr>
        <w:pStyle w:val="CETBodytext"/>
        <w:rPr>
          <w:lang w:val="en-GB"/>
        </w:rPr>
      </w:pPr>
      <w:r w:rsidRPr="005664BA">
        <w:rPr>
          <w:noProof/>
          <w:lang w:val="en-GB"/>
        </w:rPr>
        <w:lastRenderedPageBreak/>
        <w:drawing>
          <wp:anchor distT="0" distB="0" distL="114300" distR="114300" simplePos="0" relativeHeight="251660288" behindDoc="0" locked="0" layoutInCell="1" allowOverlap="1" wp14:anchorId="16ED53A3" wp14:editId="1FC035A0">
            <wp:simplePos x="0" y="0"/>
            <wp:positionH relativeFrom="column">
              <wp:posOffset>1905</wp:posOffset>
            </wp:positionH>
            <wp:positionV relativeFrom="paragraph">
              <wp:posOffset>10160</wp:posOffset>
            </wp:positionV>
            <wp:extent cx="2971800" cy="1623060"/>
            <wp:effectExtent l="0" t="0" r="0" b="0"/>
            <wp:wrapSquare wrapText="bothSides"/>
            <wp:docPr id="8" name="Gráfico 8">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06FE4E98" w14:textId="2ACE13F9" w:rsidR="00412DD2" w:rsidRPr="005664BA" w:rsidRDefault="00412DD2" w:rsidP="005228BA">
      <w:pPr>
        <w:pStyle w:val="CETCaption"/>
      </w:pPr>
      <w:r w:rsidRPr="005664BA">
        <w:br w:type="textWrapping" w:clear="all"/>
      </w:r>
      <w:r w:rsidR="005228BA" w:rsidRPr="005664BA">
        <w:t xml:space="preserve">Figure </w:t>
      </w:r>
      <w:r w:rsidR="00B65C75" w:rsidRPr="005664BA">
        <w:t>2</w:t>
      </w:r>
      <w:r w:rsidR="00817AC3" w:rsidRPr="005664BA">
        <w:t>:</w:t>
      </w:r>
      <w:r w:rsidR="005228BA" w:rsidRPr="005664BA">
        <w:t xml:space="preserve"> Concentration of butanol, acetone, and ethanol in the feed solution as a function of time, </w:t>
      </w:r>
      <w:r w:rsidR="00B65C75" w:rsidRPr="005664BA">
        <w:t>fs</w:t>
      </w:r>
      <w:r w:rsidR="00C40D82" w:rsidRPr="005664BA">
        <w:t xml:space="preserve"> </w:t>
      </w:r>
      <w:r w:rsidR="005228BA" w:rsidRPr="005664BA">
        <w:t>30°C-IL</w:t>
      </w:r>
      <w:r w:rsidR="00C40D82" w:rsidRPr="005664BA">
        <w:t xml:space="preserve"> </w:t>
      </w:r>
      <w:r w:rsidR="005228BA" w:rsidRPr="005664BA">
        <w:t>30°C</w:t>
      </w:r>
    </w:p>
    <w:p w14:paraId="77E98494" w14:textId="11D07BC8" w:rsidR="003076DD" w:rsidRPr="005664BA" w:rsidRDefault="003076DD" w:rsidP="005228BA">
      <w:pPr>
        <w:pStyle w:val="CETCaption"/>
        <w:rPr>
          <w:i w:val="0"/>
        </w:rPr>
      </w:pPr>
      <w:r w:rsidRPr="005664BA">
        <w:rPr>
          <w:i w:val="0"/>
        </w:rPr>
        <w:t xml:space="preserve">Figure </w:t>
      </w:r>
      <w:r w:rsidR="00B65C75" w:rsidRPr="005664BA">
        <w:rPr>
          <w:i w:val="0"/>
        </w:rPr>
        <w:t>2</w:t>
      </w:r>
      <w:r w:rsidRPr="005664BA">
        <w:rPr>
          <w:i w:val="0"/>
        </w:rPr>
        <w:t xml:space="preserve"> shows an example</w:t>
      </w:r>
      <w:r w:rsidR="00415F63" w:rsidRPr="005664BA">
        <w:rPr>
          <w:i w:val="0"/>
        </w:rPr>
        <w:t xml:space="preserve"> </w:t>
      </w:r>
      <w:r w:rsidRPr="005664BA">
        <w:rPr>
          <w:i w:val="0"/>
        </w:rPr>
        <w:t xml:space="preserve">of </w:t>
      </w:r>
      <w:r w:rsidR="00ED76D0" w:rsidRPr="005664BA">
        <w:rPr>
          <w:i w:val="0"/>
        </w:rPr>
        <w:t xml:space="preserve">one of extraction </w:t>
      </w:r>
      <w:r w:rsidR="003A641E" w:rsidRPr="005664BA">
        <w:rPr>
          <w:i w:val="0"/>
        </w:rPr>
        <w:t>ki</w:t>
      </w:r>
      <w:r w:rsidR="00ED76D0" w:rsidRPr="005664BA">
        <w:rPr>
          <w:i w:val="0"/>
        </w:rPr>
        <w:t xml:space="preserve">nect </w:t>
      </w:r>
      <w:r w:rsidRPr="005664BA">
        <w:rPr>
          <w:i w:val="0"/>
        </w:rPr>
        <w:t xml:space="preserve">obtained in </w:t>
      </w:r>
      <w:r w:rsidR="00415F63" w:rsidRPr="005664BA">
        <w:rPr>
          <w:i w:val="0"/>
        </w:rPr>
        <w:t>the experiments</w:t>
      </w:r>
      <w:r w:rsidRPr="005664BA">
        <w:rPr>
          <w:i w:val="0"/>
        </w:rPr>
        <w:t xml:space="preserve"> where the concentration of each</w:t>
      </w:r>
      <w:r w:rsidR="00415F63" w:rsidRPr="005664BA">
        <w:rPr>
          <w:i w:val="0"/>
        </w:rPr>
        <w:t xml:space="preserve"> </w:t>
      </w:r>
      <w:r w:rsidRPr="005664BA">
        <w:rPr>
          <w:i w:val="0"/>
        </w:rPr>
        <w:t>compound in the feed ABE solution decreases as a function of</w:t>
      </w:r>
      <w:r w:rsidR="00415F63" w:rsidRPr="005664BA">
        <w:rPr>
          <w:i w:val="0"/>
        </w:rPr>
        <w:t xml:space="preserve"> </w:t>
      </w:r>
      <w:r w:rsidRPr="005664BA">
        <w:rPr>
          <w:i w:val="0"/>
        </w:rPr>
        <w:t xml:space="preserve">time. From this </w:t>
      </w:r>
      <w:r w:rsidR="00415F63" w:rsidRPr="005664BA">
        <w:rPr>
          <w:i w:val="0"/>
        </w:rPr>
        <w:t>figure the</w:t>
      </w:r>
      <w:r w:rsidRPr="005664BA">
        <w:rPr>
          <w:i w:val="0"/>
        </w:rPr>
        <w:t xml:space="preserve"> clearest </w:t>
      </w:r>
      <w:r w:rsidR="00415F63" w:rsidRPr="005664BA">
        <w:rPr>
          <w:i w:val="0"/>
        </w:rPr>
        <w:t>decreases</w:t>
      </w:r>
      <w:r w:rsidRPr="005664BA">
        <w:rPr>
          <w:i w:val="0"/>
        </w:rPr>
        <w:t xml:space="preserve"> in the concentration of butanol and acetone. Meanwhile, </w:t>
      </w:r>
      <w:r w:rsidR="00415F63" w:rsidRPr="005664BA">
        <w:rPr>
          <w:i w:val="0"/>
        </w:rPr>
        <w:t>the concentration</w:t>
      </w:r>
      <w:r w:rsidRPr="005664BA">
        <w:rPr>
          <w:i w:val="0"/>
        </w:rPr>
        <w:t xml:space="preserve"> of ethanol could be considered practically</w:t>
      </w:r>
      <w:r w:rsidR="00415F63" w:rsidRPr="005664BA">
        <w:rPr>
          <w:i w:val="0"/>
        </w:rPr>
        <w:t xml:space="preserve"> </w:t>
      </w:r>
      <w:r w:rsidRPr="005664BA">
        <w:rPr>
          <w:i w:val="0"/>
        </w:rPr>
        <w:t xml:space="preserve">constant during the time of </w:t>
      </w:r>
      <w:r w:rsidR="00415F63" w:rsidRPr="005664BA">
        <w:rPr>
          <w:i w:val="0"/>
        </w:rPr>
        <w:t>the perstraction process</w:t>
      </w:r>
      <w:r w:rsidRPr="005664BA">
        <w:rPr>
          <w:i w:val="0"/>
        </w:rPr>
        <w:t>. Thus, the lower transfer rate of</w:t>
      </w:r>
      <w:r w:rsidR="00415F63" w:rsidRPr="005664BA">
        <w:rPr>
          <w:i w:val="0"/>
        </w:rPr>
        <w:t xml:space="preserve"> </w:t>
      </w:r>
      <w:r w:rsidRPr="005664BA">
        <w:rPr>
          <w:i w:val="0"/>
        </w:rPr>
        <w:t xml:space="preserve">ethanol, which is the smallest molecule among these </w:t>
      </w:r>
      <w:r w:rsidR="00415F63" w:rsidRPr="005664BA">
        <w:rPr>
          <w:i w:val="0"/>
        </w:rPr>
        <w:t>solutes, could</w:t>
      </w:r>
      <w:r w:rsidRPr="005664BA">
        <w:rPr>
          <w:i w:val="0"/>
        </w:rPr>
        <w:t xml:space="preserve"> be explained by a smaller solubility of this alcohol in the</w:t>
      </w:r>
      <w:r w:rsidR="00415F63" w:rsidRPr="005664BA">
        <w:rPr>
          <w:i w:val="0"/>
        </w:rPr>
        <w:t xml:space="preserve"> </w:t>
      </w:r>
      <w:r w:rsidRPr="005664BA">
        <w:rPr>
          <w:i w:val="0"/>
        </w:rPr>
        <w:t>PDMS layer</w:t>
      </w:r>
      <w:r w:rsidR="00415F63" w:rsidRPr="005664BA">
        <w:rPr>
          <w:i w:val="0"/>
        </w:rPr>
        <w:t xml:space="preserve"> membrane</w:t>
      </w:r>
      <w:r w:rsidR="00612FA7" w:rsidRPr="005664BA">
        <w:rPr>
          <w:i w:val="0"/>
        </w:rPr>
        <w:t xml:space="preserve"> and the affinity between ethanol and </w:t>
      </w:r>
      <w:r w:rsidR="00CC1264">
        <w:rPr>
          <w:i w:val="0"/>
        </w:rPr>
        <w:t>IL</w:t>
      </w:r>
      <w:r w:rsidR="00987A80" w:rsidRPr="005664BA">
        <w:rPr>
          <w:i w:val="0"/>
        </w:rPr>
        <w:t xml:space="preserve">. With </w:t>
      </w:r>
      <w:r w:rsidR="00B65C75" w:rsidRPr="005664BA">
        <w:rPr>
          <w:i w:val="0"/>
        </w:rPr>
        <w:t>the analysis</w:t>
      </w:r>
      <w:r w:rsidR="00987A80" w:rsidRPr="005664BA">
        <w:rPr>
          <w:i w:val="0"/>
        </w:rPr>
        <w:t xml:space="preserve"> of the extraction kinetics </w:t>
      </w:r>
      <w:r w:rsidR="00B65C75" w:rsidRPr="005664BA">
        <w:rPr>
          <w:i w:val="0"/>
        </w:rPr>
        <w:t>i</w:t>
      </w:r>
      <w:r w:rsidR="00987A80" w:rsidRPr="005664BA">
        <w:rPr>
          <w:i w:val="0"/>
        </w:rPr>
        <w:t xml:space="preserve">s possible to obtain the experimental responses 2.2, The extraction percentage values of butanol for each </w:t>
      </w:r>
      <w:r w:rsidR="00B65C75" w:rsidRPr="005664BA">
        <w:rPr>
          <w:i w:val="0"/>
        </w:rPr>
        <w:t>temperature</w:t>
      </w:r>
      <w:r w:rsidR="00987A80" w:rsidRPr="005664BA">
        <w:rPr>
          <w:i w:val="0"/>
        </w:rPr>
        <w:t xml:space="preserve"> combination </w:t>
      </w:r>
      <w:r w:rsidR="00ED76D0" w:rsidRPr="005664BA">
        <w:rPr>
          <w:i w:val="0"/>
        </w:rPr>
        <w:t>are</w:t>
      </w:r>
      <w:r w:rsidR="00987A80" w:rsidRPr="005664BA">
        <w:rPr>
          <w:i w:val="0"/>
        </w:rPr>
        <w:t xml:space="preserve"> reported in </w:t>
      </w:r>
      <w:r w:rsidR="00B65C75" w:rsidRPr="005664BA">
        <w:rPr>
          <w:i w:val="0"/>
        </w:rPr>
        <w:t>T</w:t>
      </w:r>
      <w:r w:rsidR="00987A80" w:rsidRPr="005664BA">
        <w:rPr>
          <w:i w:val="0"/>
        </w:rPr>
        <w:t xml:space="preserve">able </w:t>
      </w:r>
      <w:r w:rsidR="00224C51">
        <w:rPr>
          <w:i w:val="0"/>
        </w:rPr>
        <w:t>2</w:t>
      </w:r>
      <w:r w:rsidR="00B65C75" w:rsidRPr="005664BA">
        <w:rPr>
          <w:i w:val="0"/>
        </w:rPr>
        <w:t>.</w:t>
      </w:r>
    </w:p>
    <w:p w14:paraId="631E7488" w14:textId="062952E5" w:rsidR="001E7097" w:rsidRPr="005664BA" w:rsidRDefault="00817AC3" w:rsidP="00817AC3">
      <w:pPr>
        <w:pStyle w:val="CETTabletitle"/>
      </w:pPr>
      <w:r w:rsidRPr="005664BA">
        <w:t xml:space="preserve">Table </w:t>
      </w:r>
      <w:r w:rsidR="00224C51">
        <w:t>2</w:t>
      </w:r>
      <w:r w:rsidRPr="005664BA">
        <w:t>: Extraction percentage values of butanol as a function of temperature difference between phases.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851"/>
      </w:tblGrid>
      <w:tr w:rsidR="00987A80" w:rsidRPr="005664BA" w14:paraId="6C5BB31D" w14:textId="77777777" w:rsidTr="00A82DA5">
        <w:tc>
          <w:tcPr>
            <w:tcW w:w="1701" w:type="dxa"/>
            <w:tcBorders>
              <w:top w:val="single" w:sz="12" w:space="0" w:color="008000"/>
              <w:bottom w:val="single" w:sz="6" w:space="0" w:color="008000"/>
            </w:tcBorders>
            <w:shd w:val="clear" w:color="auto" w:fill="FFFFFF"/>
          </w:tcPr>
          <w:p w14:paraId="7B077712" w14:textId="48867161" w:rsidR="00987A80" w:rsidRPr="005664BA" w:rsidRDefault="00987A80" w:rsidP="00817AC3">
            <w:pPr>
              <w:pStyle w:val="CETBodytext"/>
              <w:jc w:val="center"/>
              <w:rPr>
                <w:lang w:val="en-GB"/>
              </w:rPr>
            </w:pPr>
            <w:r w:rsidRPr="005664BA">
              <w:rPr>
                <w:lang w:val="en-GB"/>
              </w:rPr>
              <w:t>Temperature combination</w:t>
            </w:r>
          </w:p>
        </w:tc>
        <w:tc>
          <w:tcPr>
            <w:tcW w:w="851" w:type="dxa"/>
            <w:tcBorders>
              <w:top w:val="single" w:sz="12" w:space="0" w:color="008000"/>
              <w:bottom w:val="single" w:sz="6" w:space="0" w:color="008000"/>
            </w:tcBorders>
            <w:shd w:val="clear" w:color="auto" w:fill="FFFFFF"/>
          </w:tcPr>
          <w:p w14:paraId="686FEC8A" w14:textId="68B861FD" w:rsidR="00987A80" w:rsidRPr="005664BA" w:rsidRDefault="00987A80" w:rsidP="00817AC3">
            <w:pPr>
              <w:pStyle w:val="CETBodytext"/>
              <w:jc w:val="center"/>
              <w:rPr>
                <w:lang w:val="en-GB"/>
              </w:rPr>
            </w:pPr>
            <w:r w:rsidRPr="005664BA">
              <w:rPr>
                <w:lang w:val="en-GB"/>
              </w:rPr>
              <w:t>E%</w:t>
            </w:r>
          </w:p>
        </w:tc>
      </w:tr>
      <w:tr w:rsidR="00987A80" w:rsidRPr="005664BA" w14:paraId="234E3B84" w14:textId="77777777" w:rsidTr="00A82DA5">
        <w:tc>
          <w:tcPr>
            <w:tcW w:w="1701" w:type="dxa"/>
            <w:shd w:val="clear" w:color="auto" w:fill="FFFFFF"/>
          </w:tcPr>
          <w:p w14:paraId="14F33EC6" w14:textId="05917E9B" w:rsidR="00987A80" w:rsidRPr="005664BA" w:rsidRDefault="00B65C75" w:rsidP="00A82DA5">
            <w:pPr>
              <w:pStyle w:val="CETBodytext"/>
              <w:jc w:val="left"/>
              <w:rPr>
                <w:lang w:val="en-GB"/>
              </w:rPr>
            </w:pPr>
            <w:r w:rsidRPr="005664BA">
              <w:rPr>
                <w:lang w:val="en-GB"/>
              </w:rPr>
              <w:t>fs</w:t>
            </w:r>
            <w:r w:rsidR="003F6447" w:rsidRPr="005664BA">
              <w:rPr>
                <w:lang w:val="en-GB"/>
              </w:rPr>
              <w:t xml:space="preserve"> </w:t>
            </w:r>
            <w:r w:rsidR="00817AC3" w:rsidRPr="005664BA">
              <w:rPr>
                <w:lang w:val="en-GB"/>
              </w:rPr>
              <w:t>0°C</w:t>
            </w:r>
            <w:r w:rsidR="003F6447" w:rsidRPr="005664BA">
              <w:rPr>
                <w:lang w:val="en-GB"/>
              </w:rPr>
              <w:t xml:space="preserve">   – </w:t>
            </w:r>
            <w:r w:rsidR="00817AC3" w:rsidRPr="005664BA">
              <w:rPr>
                <w:lang w:val="en-GB"/>
              </w:rPr>
              <w:t>IL</w:t>
            </w:r>
            <w:r w:rsidR="003F6447" w:rsidRPr="005664BA">
              <w:rPr>
                <w:lang w:val="en-GB"/>
              </w:rPr>
              <w:t xml:space="preserve"> </w:t>
            </w:r>
            <w:r w:rsidR="00817AC3" w:rsidRPr="005664BA">
              <w:rPr>
                <w:lang w:val="en-GB"/>
              </w:rPr>
              <w:t>30°C</w:t>
            </w:r>
          </w:p>
        </w:tc>
        <w:tc>
          <w:tcPr>
            <w:tcW w:w="851" w:type="dxa"/>
            <w:shd w:val="clear" w:color="auto" w:fill="FFFFFF"/>
          </w:tcPr>
          <w:p w14:paraId="52BBE04F" w14:textId="66B92CA1" w:rsidR="00987A80" w:rsidRPr="005664BA" w:rsidRDefault="00817AC3" w:rsidP="00817AC3">
            <w:pPr>
              <w:pStyle w:val="CETBodytext"/>
              <w:jc w:val="center"/>
              <w:rPr>
                <w:lang w:val="en-GB"/>
              </w:rPr>
            </w:pPr>
            <w:r w:rsidRPr="005664BA">
              <w:rPr>
                <w:lang w:val="en-GB"/>
              </w:rPr>
              <w:t>12.3</w:t>
            </w:r>
          </w:p>
        </w:tc>
      </w:tr>
      <w:tr w:rsidR="00987A80" w:rsidRPr="005664BA" w14:paraId="4A927613" w14:textId="77777777" w:rsidTr="00A82DA5">
        <w:tc>
          <w:tcPr>
            <w:tcW w:w="1701" w:type="dxa"/>
            <w:shd w:val="clear" w:color="auto" w:fill="FFFFFF"/>
          </w:tcPr>
          <w:p w14:paraId="0B4DF0A7" w14:textId="39B2B4AF" w:rsidR="00987A80" w:rsidRPr="005664BA" w:rsidRDefault="00B65C75" w:rsidP="00A82DA5">
            <w:pPr>
              <w:pStyle w:val="CETBodytext"/>
              <w:ind w:right="-1"/>
              <w:jc w:val="left"/>
              <w:rPr>
                <w:rFonts w:cs="Arial"/>
                <w:szCs w:val="18"/>
                <w:lang w:val="en-GB"/>
              </w:rPr>
            </w:pPr>
            <w:r w:rsidRPr="005664BA">
              <w:rPr>
                <w:lang w:val="en-GB"/>
              </w:rPr>
              <w:t>fs</w:t>
            </w:r>
            <w:r w:rsidR="003F6447" w:rsidRPr="005664BA">
              <w:rPr>
                <w:lang w:val="en-GB"/>
              </w:rPr>
              <w:t xml:space="preserve"> </w:t>
            </w:r>
            <w:r w:rsidR="00817AC3" w:rsidRPr="005664BA">
              <w:rPr>
                <w:lang w:val="en-GB"/>
              </w:rPr>
              <w:t>30°C</w:t>
            </w:r>
            <w:r w:rsidR="003F6447" w:rsidRPr="005664BA">
              <w:rPr>
                <w:lang w:val="en-GB"/>
              </w:rPr>
              <w:t xml:space="preserve"> – </w:t>
            </w:r>
            <w:r w:rsidR="00817AC3" w:rsidRPr="005664BA">
              <w:rPr>
                <w:lang w:val="en-GB"/>
              </w:rPr>
              <w:t>IL</w:t>
            </w:r>
            <w:r w:rsidR="003F6447" w:rsidRPr="005664BA">
              <w:rPr>
                <w:lang w:val="en-GB"/>
              </w:rPr>
              <w:t xml:space="preserve"> </w:t>
            </w:r>
            <w:r w:rsidR="00817AC3" w:rsidRPr="005664BA">
              <w:rPr>
                <w:lang w:val="en-GB"/>
              </w:rPr>
              <w:t>30°C</w:t>
            </w:r>
          </w:p>
        </w:tc>
        <w:tc>
          <w:tcPr>
            <w:tcW w:w="851" w:type="dxa"/>
            <w:shd w:val="clear" w:color="auto" w:fill="FFFFFF"/>
          </w:tcPr>
          <w:p w14:paraId="4815E4E6" w14:textId="62697293" w:rsidR="00987A80" w:rsidRPr="005664BA" w:rsidRDefault="00817AC3" w:rsidP="00817AC3">
            <w:pPr>
              <w:pStyle w:val="CETBodytext"/>
              <w:ind w:right="-1"/>
              <w:jc w:val="center"/>
              <w:rPr>
                <w:rFonts w:cs="Arial"/>
                <w:szCs w:val="18"/>
                <w:lang w:val="en-GB"/>
              </w:rPr>
            </w:pPr>
            <w:r w:rsidRPr="005664BA">
              <w:rPr>
                <w:rFonts w:cs="Arial"/>
                <w:szCs w:val="18"/>
                <w:lang w:val="en-GB"/>
              </w:rPr>
              <w:t>26.6</w:t>
            </w:r>
          </w:p>
        </w:tc>
      </w:tr>
      <w:tr w:rsidR="00987A80" w:rsidRPr="005664BA" w14:paraId="0CB0E10D" w14:textId="77777777" w:rsidTr="00A82DA5">
        <w:tc>
          <w:tcPr>
            <w:tcW w:w="1701" w:type="dxa"/>
            <w:shd w:val="clear" w:color="auto" w:fill="FFFFFF"/>
          </w:tcPr>
          <w:p w14:paraId="1DC1B3A9" w14:textId="17CA7624" w:rsidR="00987A80" w:rsidRPr="005664BA" w:rsidRDefault="00B65C75" w:rsidP="00A82DA5">
            <w:pPr>
              <w:pStyle w:val="CETBodytext"/>
              <w:ind w:right="-1"/>
              <w:rPr>
                <w:rFonts w:cs="Arial"/>
                <w:szCs w:val="18"/>
                <w:lang w:val="en-GB"/>
              </w:rPr>
            </w:pPr>
            <w:r w:rsidRPr="005664BA">
              <w:rPr>
                <w:lang w:val="en-GB"/>
              </w:rPr>
              <w:t>fs</w:t>
            </w:r>
            <w:r w:rsidR="003F6447" w:rsidRPr="005664BA">
              <w:rPr>
                <w:lang w:val="en-GB"/>
              </w:rPr>
              <w:t xml:space="preserve"> </w:t>
            </w:r>
            <w:r w:rsidR="00817AC3" w:rsidRPr="005664BA">
              <w:rPr>
                <w:lang w:val="en-GB"/>
              </w:rPr>
              <w:t>60°C</w:t>
            </w:r>
            <w:r w:rsidR="003F6447" w:rsidRPr="005664BA">
              <w:rPr>
                <w:lang w:val="en-GB"/>
              </w:rPr>
              <w:t xml:space="preserve"> – </w:t>
            </w:r>
            <w:r w:rsidR="00817AC3" w:rsidRPr="005664BA">
              <w:rPr>
                <w:lang w:val="en-GB"/>
              </w:rPr>
              <w:t>IL</w:t>
            </w:r>
            <w:r w:rsidR="003F6447" w:rsidRPr="005664BA">
              <w:rPr>
                <w:lang w:val="en-GB"/>
              </w:rPr>
              <w:t xml:space="preserve"> </w:t>
            </w:r>
            <w:r w:rsidR="00817AC3" w:rsidRPr="005664BA">
              <w:rPr>
                <w:lang w:val="en-GB"/>
              </w:rPr>
              <w:t>30°C</w:t>
            </w:r>
          </w:p>
        </w:tc>
        <w:tc>
          <w:tcPr>
            <w:tcW w:w="851" w:type="dxa"/>
            <w:shd w:val="clear" w:color="auto" w:fill="FFFFFF"/>
          </w:tcPr>
          <w:p w14:paraId="2B162C5E" w14:textId="20AE7062" w:rsidR="00987A80" w:rsidRPr="005664BA" w:rsidRDefault="00817AC3" w:rsidP="00817AC3">
            <w:pPr>
              <w:pStyle w:val="CETBodytext"/>
              <w:ind w:right="-1"/>
              <w:jc w:val="center"/>
              <w:rPr>
                <w:rFonts w:cs="Arial"/>
                <w:szCs w:val="18"/>
                <w:lang w:val="en-GB"/>
              </w:rPr>
            </w:pPr>
            <w:r w:rsidRPr="005664BA">
              <w:rPr>
                <w:rFonts w:cs="Arial"/>
                <w:szCs w:val="18"/>
                <w:lang w:val="en-GB"/>
              </w:rPr>
              <w:t>44.9</w:t>
            </w:r>
          </w:p>
        </w:tc>
      </w:tr>
      <w:tr w:rsidR="00987A80" w:rsidRPr="005664BA" w14:paraId="515E7BC7" w14:textId="77777777" w:rsidTr="00A82DA5">
        <w:tc>
          <w:tcPr>
            <w:tcW w:w="1701" w:type="dxa"/>
            <w:shd w:val="clear" w:color="auto" w:fill="FFFFFF"/>
          </w:tcPr>
          <w:p w14:paraId="4A00C203" w14:textId="4D231161" w:rsidR="00987A80" w:rsidRPr="005664BA" w:rsidRDefault="00B65C75" w:rsidP="00A82DA5">
            <w:pPr>
              <w:pStyle w:val="CETBodytext"/>
              <w:ind w:right="-1"/>
              <w:jc w:val="left"/>
              <w:rPr>
                <w:rFonts w:cs="Arial"/>
                <w:szCs w:val="18"/>
                <w:lang w:val="en-GB"/>
              </w:rPr>
            </w:pPr>
            <w:r w:rsidRPr="005664BA">
              <w:rPr>
                <w:lang w:val="en-GB"/>
              </w:rPr>
              <w:t>fs</w:t>
            </w:r>
            <w:r w:rsidR="003F6447" w:rsidRPr="005664BA">
              <w:rPr>
                <w:lang w:val="en-GB"/>
              </w:rPr>
              <w:t xml:space="preserve"> </w:t>
            </w:r>
            <w:r w:rsidR="00817AC3" w:rsidRPr="005664BA">
              <w:rPr>
                <w:lang w:val="en-GB"/>
              </w:rPr>
              <w:t>30°C</w:t>
            </w:r>
            <w:r w:rsidR="003F6447" w:rsidRPr="005664BA">
              <w:rPr>
                <w:lang w:val="en-GB"/>
              </w:rPr>
              <w:t xml:space="preserve"> – </w:t>
            </w:r>
            <w:r w:rsidR="00817AC3" w:rsidRPr="005664BA">
              <w:rPr>
                <w:lang w:val="en-GB"/>
              </w:rPr>
              <w:t>IL</w:t>
            </w:r>
            <w:r w:rsidR="003F6447" w:rsidRPr="005664BA">
              <w:rPr>
                <w:lang w:val="en-GB"/>
              </w:rPr>
              <w:t xml:space="preserve"> </w:t>
            </w:r>
            <w:r w:rsidR="00817AC3" w:rsidRPr="005664BA">
              <w:rPr>
                <w:lang w:val="en-GB"/>
              </w:rPr>
              <w:t>60°C</w:t>
            </w:r>
          </w:p>
        </w:tc>
        <w:tc>
          <w:tcPr>
            <w:tcW w:w="851" w:type="dxa"/>
            <w:shd w:val="clear" w:color="auto" w:fill="FFFFFF"/>
          </w:tcPr>
          <w:p w14:paraId="1A1FCF40" w14:textId="1188CF54" w:rsidR="00987A80" w:rsidRPr="005664BA" w:rsidRDefault="00817AC3" w:rsidP="00817AC3">
            <w:pPr>
              <w:pStyle w:val="CETBodytext"/>
              <w:ind w:right="-1"/>
              <w:jc w:val="center"/>
              <w:rPr>
                <w:rFonts w:cs="Arial"/>
                <w:szCs w:val="18"/>
                <w:lang w:val="en-GB"/>
              </w:rPr>
            </w:pPr>
            <w:r w:rsidRPr="005664BA">
              <w:rPr>
                <w:rFonts w:cs="Arial"/>
                <w:szCs w:val="18"/>
                <w:lang w:val="en-GB"/>
              </w:rPr>
              <w:t>32.4</w:t>
            </w:r>
          </w:p>
        </w:tc>
      </w:tr>
    </w:tbl>
    <w:p w14:paraId="7EDD2CBC" w14:textId="77777777" w:rsidR="00F21BD2" w:rsidRPr="005664BA" w:rsidRDefault="00F21BD2" w:rsidP="00CC0E7A">
      <w:pPr>
        <w:pStyle w:val="CETBodytext"/>
        <w:rPr>
          <w:lang w:val="en-GB"/>
        </w:rPr>
      </w:pPr>
    </w:p>
    <w:p w14:paraId="62BCA115" w14:textId="17E8B8D1" w:rsidR="00C94E5D" w:rsidRPr="005664BA" w:rsidRDefault="00BB010E" w:rsidP="00CC0E7A">
      <w:pPr>
        <w:pStyle w:val="CETBodytext"/>
        <w:rPr>
          <w:lang w:val="en-GB"/>
        </w:rPr>
      </w:pPr>
      <w:r w:rsidRPr="005664BA">
        <w:rPr>
          <w:lang w:val="en-GB"/>
        </w:rPr>
        <w:t xml:space="preserve">Table </w:t>
      </w:r>
      <w:r w:rsidR="0024239B">
        <w:rPr>
          <w:lang w:val="en-GB"/>
        </w:rPr>
        <w:t>2</w:t>
      </w:r>
      <w:r w:rsidRPr="005664BA">
        <w:rPr>
          <w:lang w:val="en-GB"/>
        </w:rPr>
        <w:t xml:space="preserve"> shows the extraction percentage observed for butanol, evidencing how the temperature of the feed phase governs the butanol mass transfer process, obtaining the best result for the feed phase circulating at 60</w:t>
      </w:r>
      <w:r w:rsidR="00F26B3C">
        <w:rPr>
          <w:lang w:val="en-GB"/>
        </w:rPr>
        <w:t xml:space="preserve"> </w:t>
      </w:r>
      <w:r w:rsidRPr="005664BA">
        <w:rPr>
          <w:lang w:val="en-GB"/>
        </w:rPr>
        <w:t>°C, which is mainly explained by the change in the transport properties in the PDMS membrane, which is known to be the controlling phase in the processes of perstraction</w:t>
      </w:r>
      <w:r w:rsidR="003F79B5">
        <w:rPr>
          <w:lang w:val="en-GB"/>
        </w:rPr>
        <w:t xml:space="preserve"> </w:t>
      </w:r>
      <w:r w:rsidR="003F79B5" w:rsidRPr="000C3E1B">
        <w:rPr>
          <w:lang w:val="en-GB"/>
        </w:rPr>
        <w:fldChar w:fldCharType="begin" w:fldLock="1"/>
      </w:r>
      <w:r w:rsidR="003F79B5" w:rsidRPr="000C3E1B">
        <w:instrText>ADDIN CSL_CITATION {"citationItems":[{"id":"ITEM-1","itemData":{"DOI":"10.1016/j.memsci.2017.05.045","ISSN":"18733123","abstract":"In this work, the perstraction process was implemented to separate butanol, acetone and ethanol from aqueous solutions using four different commercial hydrophobic ionic liquids (ILs) as receiving phase: [bmin][PF6], [bmim][Tf2N], [omim][Tf2N] and [P6,6,6,14][DCA]. These ILs constituted by different cations and anions were selected in terms of its hydrophobicity, good solubility of butanol and commercial availability. Perstraction assays were carried out using a symmetric membrane made in polydimethylsiloxane (PDMS) in order to quantify the extraction percentage and transmembrane fluxes of butanol, acetone, ethanol and water. The results indicate that the transmembrane fluxes of butanol were particularly high considering that the PDMS membrane used in the experiments was relatively thick (160 µm). The highest average flux of butanol was obtained using [P6,6,6,14][DCA] as the extractant reaching a value of 5.5×10−3 kg h−1 m−2. Nevertheless, the IL with the best separation performance was [omim][Tf2N] with a low flux of butanol (4.3×10−3 kg h−1 m−2) but with the highest butanol/water selectivity value equal to 64.25. This perstraction technique combined with ILs could allow to design a wide range of separation processes to purify a large variety of molecules. Besides that, the perstraction process could be considered a good alternative for the selective separation of fermentation or reaction products with high commercial value.","author":[{"dropping-particle":"","family":"Merlet","given":"G.","non-dropping-particle":"","parse-names":false,"suffix":""},{"dropping-particle":"","family":"Uribe","given":"F.","non-dropping-particle":"","parse-names":false,"suffix":""},{"dropping-particle":"","family":"Aravena","given":"C.","non-dropping-particle":"","parse-names":false,"suffix":""},{"dropping-particle":"","family":"Rodríguez","given":"M.","non-dropping-particle":"","parse-names":false,"suffix":""},{"dropping-particle":"","family":"Cabezas","given":"R.","non-dropping-particle":"","parse-names":false,"suffix":""},{"dropping-particle":"","family":"Quijada-Maldonado","given":"E.","non-dropping-particle":"","parse-names":false,"suffix":""},{"dropping-particle":"","family":"Romero","given":"J.","non-dropping-particle":"","parse-names":false,"suffix":""}],"container-title":"Journal of Membrane Science","id":"ITEM-1","issued":{"date-parts":[["2017","9","1"]]},"page":"337-343","title":"Separation of fermentation products from ABE mixtures by perstraction using hydrophobic ionic liquids as extractants","type":"article-journal","volume":"537"},"uris":["http://www.mendeley.com/documents/?uuid=a411c8d5-ff8b-4f14-b318-fc3b7c722f9e"]}],"mendeley":{"formattedCitation":"(Merlet et al., 2017)","plainTextFormattedCitation":"(Merlet et al., 2017)","previouslyFormattedCitation":"(Merlet et al., 2017)"},"properties":{"noteIndex":0},"schema":"https://github.com/citation-style-language/schema/raw/master/csl-citation.json"}</w:instrText>
      </w:r>
      <w:r w:rsidR="003F79B5" w:rsidRPr="000C3E1B">
        <w:rPr>
          <w:lang w:val="en-GB"/>
        </w:rPr>
        <w:fldChar w:fldCharType="separate"/>
      </w:r>
      <w:r w:rsidR="003F79B5" w:rsidRPr="000C3E1B">
        <w:rPr>
          <w:noProof/>
        </w:rPr>
        <w:t>(Merlet et al., 2017)</w:t>
      </w:r>
      <w:r w:rsidR="003F79B5" w:rsidRPr="000C3E1B">
        <w:rPr>
          <w:lang w:val="en-GB"/>
        </w:rPr>
        <w:fldChar w:fldCharType="end"/>
      </w:r>
      <w:r w:rsidRPr="005664BA">
        <w:rPr>
          <w:lang w:val="en-GB"/>
        </w:rPr>
        <w:t xml:space="preserve"> and Pervaporation </w:t>
      </w:r>
      <w:r w:rsidR="000B26D6" w:rsidRPr="005664BA">
        <w:rPr>
          <w:lang w:val="en-GB"/>
        </w:rPr>
        <w:fldChar w:fldCharType="begin" w:fldLock="1"/>
      </w:r>
      <w:r w:rsidR="000B26D6">
        <w:instrText>ADDIN CSL_CITATION {"citationItems":[{"id":"ITEM-1","itemData":{"DOI":"10.1016/J.MEMSCI.2021.119617","ISSN":"0376-7388","abstract":"Hydrophobic Deep Eutectic Solvents (HDES) are considered a relatively novel class of solvents, which show perfect features to incorporate them in pervaporation membranes. Composite HDES membranes offer a separation media, which shows a faster molecular diffusion than polymeric membranes, combining the best properties of liquid and polymer membranes, such a high selectivity with high burst pressure and durability. In this work, the separation of acetone–butanol–ethanol mixtures (ABE) from aqueous solutions, is carried out by pervaporation using membranes prepared with HDES lidocaine-thymol (Lidol) and CH3(CH2)8COOH-Thymol (Decadol), coated with two polydimethylsiloxane (PDMS) flat sheet membranes. The composite membranes showed improved results for the butanol/water selectivity compared to the single PDMS layer membrane used as a control. The total flux of butanol obtained with the Lidol-based membrane was 2.93 × 10−3 [kg m−2 hr−1]. The total flux of water was 1.22 × 10−4 [kg m−2 hr−1], showing a selectivity value for butanol/water of 1932, while the control membrane had a selectivity value of 6. The results obtained with the composite membranes exhibited a higher and more stable performance in separating butanol from the ABE solution. The improvement in the selectivity can be explained by the synergic effect of the PDMS coating with the HDES layer.","author":[{"dropping-particle":"","family":"Cabezas","given":"R.","non-dropping-particle":"","parse-names":false,"suffix":""},{"dropping-particle":"","family":"Duran","given":"S.","non-dropping-particle":"","parse-names":false,"suffix":""},{"dropping-particle":"","family":"Zurob","given":"E.","non-dropping-particle":"","parse-names":false,"suffix":""},{"dropping-particle":"","family":"Plaza","given":"A.","non-dropping-particle":"","parse-names":false,"suffix":""},{"dropping-particle":"","family":"Merlet","given":"G.","non-dropping-particle":"","parse-names":false,"suffix":""},{"dropping-particle":"","family":"Araya-Lopez","given":"C.","non-dropping-particle":"","parse-names":false,"suffix":""},{"dropping-particle":"","family":"Romero","given":"J.","non-dropping-particle":"","parse-names":false,"suffix":""},{"dropping-particle":"","family":"Quijada-Maldonado","given":"E.","non-dropping-particle":"","parse-names":false,"suffix":""}],"container-title":"Journal of Membrane Science","id":"ITEM-1","issued":{"date-parts":[["2021","11","1"]]},"page":"119617","publisher":"Elsevier","title":"Development of silicone-coated hydrophobic deep eutectic solvent-based membranes for pervaporation of biobutanol","type":"article-journal","volume":"637"},"uris":["http://www.mendeley.com/documents/?uuid=d1a37dc9-5ba2-3792-82f9-a462478984e2"]}],"mendeley":{"formattedCitation":"(Cabezas et al., 2021)","plainTextFormattedCitation":"(Cabezas et al., 2021)","previouslyFormattedCitation":"(Cabezas et al., 2021)"},"properties":{"noteIndex":0},"schema":"https://github.com/citation-style-language/schema/raw/master/csl-citation.json"}</w:instrText>
      </w:r>
      <w:r w:rsidR="000B26D6" w:rsidRPr="005664BA">
        <w:rPr>
          <w:lang w:val="en-GB"/>
        </w:rPr>
        <w:fldChar w:fldCharType="separate"/>
      </w:r>
      <w:r w:rsidR="000B26D6" w:rsidRPr="00864D9F">
        <w:rPr>
          <w:noProof/>
        </w:rPr>
        <w:t>(Cabezas et al., 2021)</w:t>
      </w:r>
      <w:r w:rsidR="000B26D6" w:rsidRPr="005664BA">
        <w:rPr>
          <w:lang w:val="en-GB"/>
        </w:rPr>
        <w:fldChar w:fldCharType="end"/>
      </w:r>
      <w:r w:rsidRPr="005664BA">
        <w:rPr>
          <w:lang w:val="en-GB"/>
        </w:rPr>
        <w:t>as well.</w:t>
      </w:r>
    </w:p>
    <w:p w14:paraId="4BF7A852" w14:textId="30398ABB" w:rsidR="00F21BD2" w:rsidRPr="005664BA" w:rsidRDefault="00F21BD2" w:rsidP="000F08BB">
      <w:pPr>
        <w:pStyle w:val="CETheadingx"/>
      </w:pPr>
      <w:r w:rsidRPr="005664BA">
        <w:t>Transmembrane Flux</w:t>
      </w:r>
    </w:p>
    <w:p w14:paraId="79FA1523" w14:textId="5606D588" w:rsidR="00DC511D" w:rsidRPr="005664BA" w:rsidRDefault="00BB010E" w:rsidP="00CC0E7A">
      <w:pPr>
        <w:pStyle w:val="CETBodytext"/>
        <w:rPr>
          <w:lang w:val="en-GB"/>
        </w:rPr>
      </w:pPr>
      <w:r w:rsidRPr="005664BA">
        <w:rPr>
          <w:lang w:val="en-GB"/>
        </w:rPr>
        <w:t xml:space="preserve">Table </w:t>
      </w:r>
      <w:r w:rsidR="00224C51">
        <w:rPr>
          <w:lang w:val="en-GB"/>
        </w:rPr>
        <w:t>3</w:t>
      </w:r>
      <w:r w:rsidRPr="005664BA">
        <w:rPr>
          <w:lang w:val="en-GB"/>
        </w:rPr>
        <w:t xml:space="preserve"> shows the total transmembrane flux obtained according to equation 2, also including the value obtained for water, which, present</w:t>
      </w:r>
      <w:r w:rsidR="00B27CA0" w:rsidRPr="005664BA">
        <w:rPr>
          <w:lang w:val="en-GB"/>
        </w:rPr>
        <w:t>s</w:t>
      </w:r>
      <w:r w:rsidRPr="005664BA">
        <w:rPr>
          <w:lang w:val="en-GB"/>
        </w:rPr>
        <w:t xml:space="preserve"> an almost constant concentration in the feeding phase</w:t>
      </w:r>
      <w:r w:rsidR="00B27CA0" w:rsidRPr="005664BA">
        <w:rPr>
          <w:lang w:val="en-GB"/>
        </w:rPr>
        <w:t xml:space="preserve"> and</w:t>
      </w:r>
      <w:r w:rsidRPr="005664BA">
        <w:rPr>
          <w:lang w:val="en-GB"/>
        </w:rPr>
        <w:t>,</w:t>
      </w:r>
      <w:r w:rsidR="00B27CA0" w:rsidRPr="005664BA">
        <w:rPr>
          <w:lang w:val="en-GB"/>
        </w:rPr>
        <w:t xml:space="preserve"> as water</w:t>
      </w:r>
      <w:r w:rsidRPr="005664BA">
        <w:rPr>
          <w:lang w:val="en-GB"/>
        </w:rPr>
        <w:t xml:space="preserve"> does not have an extraction kinetics, but rather the value of the transmembrane</w:t>
      </w:r>
      <w:r w:rsidR="00B27CA0" w:rsidRPr="005664BA">
        <w:rPr>
          <w:lang w:val="en-GB"/>
        </w:rPr>
        <w:t xml:space="preserve"> flux</w:t>
      </w:r>
      <w:r w:rsidRPr="005664BA">
        <w:rPr>
          <w:lang w:val="en-GB"/>
        </w:rPr>
        <w:t xml:space="preserve"> is obtained directly by determining the amount of water in the IL phase after the per</w:t>
      </w:r>
      <w:r w:rsidR="00B27CA0" w:rsidRPr="005664BA">
        <w:rPr>
          <w:lang w:val="en-GB"/>
        </w:rPr>
        <w:t>s</w:t>
      </w:r>
      <w:r w:rsidRPr="005664BA">
        <w:rPr>
          <w:lang w:val="en-GB"/>
        </w:rPr>
        <w:t>traction process</w:t>
      </w:r>
      <w:r w:rsidR="001E7097" w:rsidRPr="005664BA">
        <w:rPr>
          <w:lang w:val="en-GB"/>
        </w:rPr>
        <w:t>.</w:t>
      </w:r>
    </w:p>
    <w:p w14:paraId="5C1A4F91" w14:textId="77777777" w:rsidR="001E7097" w:rsidRPr="005664BA" w:rsidRDefault="001E7097" w:rsidP="00CC0E7A">
      <w:pPr>
        <w:pStyle w:val="CETBodytext"/>
        <w:rPr>
          <w:lang w:val="en-GB"/>
        </w:rPr>
      </w:pPr>
    </w:p>
    <w:p w14:paraId="08CFD18F" w14:textId="5F3AB7AB" w:rsidR="00C94E5D" w:rsidRPr="005664BA" w:rsidRDefault="007636A2" w:rsidP="00CC0E7A">
      <w:pPr>
        <w:pStyle w:val="CETBodytext"/>
        <w:rPr>
          <w:i/>
          <w:lang w:val="en-GB"/>
        </w:rPr>
      </w:pPr>
      <w:r w:rsidRPr="005664BA">
        <w:rPr>
          <w:i/>
          <w:lang w:val="en-GB"/>
        </w:rPr>
        <w:t xml:space="preserve">Table </w:t>
      </w:r>
      <w:r w:rsidR="00224C51">
        <w:rPr>
          <w:i/>
          <w:lang w:val="en-GB"/>
        </w:rPr>
        <w:t>3</w:t>
      </w:r>
      <w:r w:rsidR="00A2410B" w:rsidRPr="005664BA">
        <w:rPr>
          <w:i/>
          <w:lang w:val="en-GB"/>
        </w:rPr>
        <w:t xml:space="preserve">: </w:t>
      </w:r>
      <w:r w:rsidRPr="005664BA">
        <w:rPr>
          <w:i/>
          <w:lang w:val="en-GB"/>
        </w:rPr>
        <w:t>Average values of transmembrane flux of butanol and water for different phase temperature combination</w:t>
      </w:r>
    </w:p>
    <w:tbl>
      <w:tblPr>
        <w:tblpPr w:leftFromText="141" w:rightFromText="141" w:vertAnchor="text" w:tblpY="1"/>
        <w:tblOverlap w:val="neve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134"/>
        <w:gridCol w:w="1134"/>
      </w:tblGrid>
      <w:tr w:rsidR="002445C4" w:rsidRPr="005664BA" w14:paraId="3B797148" w14:textId="5F13A375" w:rsidTr="00A82DA5">
        <w:tc>
          <w:tcPr>
            <w:tcW w:w="1418" w:type="dxa"/>
            <w:tcBorders>
              <w:top w:val="single" w:sz="12" w:space="0" w:color="008000"/>
              <w:bottom w:val="single" w:sz="6" w:space="0" w:color="008000"/>
            </w:tcBorders>
            <w:shd w:val="clear" w:color="auto" w:fill="FFFFFF"/>
          </w:tcPr>
          <w:p w14:paraId="541E63F7" w14:textId="77777777" w:rsidR="002445C4" w:rsidRPr="005664BA" w:rsidRDefault="002445C4" w:rsidP="007636A2">
            <w:pPr>
              <w:pStyle w:val="CETBodytext"/>
              <w:jc w:val="center"/>
              <w:rPr>
                <w:lang w:val="en-GB"/>
              </w:rPr>
            </w:pPr>
            <w:r w:rsidRPr="005664BA">
              <w:rPr>
                <w:lang w:val="en-GB"/>
              </w:rPr>
              <w:t>Temperature combination</w:t>
            </w:r>
          </w:p>
        </w:tc>
        <w:tc>
          <w:tcPr>
            <w:tcW w:w="1134" w:type="dxa"/>
            <w:tcBorders>
              <w:top w:val="single" w:sz="12" w:space="0" w:color="008000"/>
              <w:bottom w:val="single" w:sz="6" w:space="0" w:color="008000"/>
            </w:tcBorders>
            <w:shd w:val="clear" w:color="auto" w:fill="FFFFFF"/>
          </w:tcPr>
          <w:p w14:paraId="2CEDD7B8" w14:textId="04707FB9" w:rsidR="002445C4" w:rsidRPr="005664BA" w:rsidRDefault="007636A2" w:rsidP="007636A2">
            <w:pPr>
              <w:pStyle w:val="CETBodytext"/>
              <w:jc w:val="center"/>
              <w:rPr>
                <w:lang w:val="en-GB"/>
              </w:rPr>
            </w:pPr>
            <w:r w:rsidRPr="005664BA">
              <w:rPr>
                <w:lang w:val="en-GB"/>
              </w:rPr>
              <w:t>Butanol Flux [Kg·m</w:t>
            </w:r>
            <w:r w:rsidRPr="005664BA">
              <w:rPr>
                <w:vertAlign w:val="superscript"/>
                <w:lang w:val="en-GB"/>
              </w:rPr>
              <w:t xml:space="preserve">-2 </w:t>
            </w:r>
            <w:r w:rsidRPr="005664BA">
              <w:rPr>
                <w:lang w:val="en-GB"/>
              </w:rPr>
              <w:t>·h</w:t>
            </w:r>
            <w:r w:rsidRPr="005664BA">
              <w:rPr>
                <w:vertAlign w:val="superscript"/>
                <w:lang w:val="en-GB"/>
              </w:rPr>
              <w:t>-1</w:t>
            </w:r>
            <w:r w:rsidRPr="005664BA">
              <w:rPr>
                <w:lang w:val="en-GB"/>
              </w:rPr>
              <w:t>]</w:t>
            </w:r>
          </w:p>
        </w:tc>
        <w:tc>
          <w:tcPr>
            <w:tcW w:w="1134" w:type="dxa"/>
            <w:tcBorders>
              <w:top w:val="single" w:sz="12" w:space="0" w:color="008000"/>
              <w:bottom w:val="single" w:sz="6" w:space="0" w:color="008000"/>
            </w:tcBorders>
            <w:shd w:val="clear" w:color="auto" w:fill="FFFFFF"/>
          </w:tcPr>
          <w:p w14:paraId="0406D16A" w14:textId="0E73A3A9" w:rsidR="002445C4" w:rsidRPr="005664BA" w:rsidRDefault="007636A2" w:rsidP="007636A2">
            <w:pPr>
              <w:pStyle w:val="CETBodytext"/>
              <w:jc w:val="center"/>
              <w:rPr>
                <w:lang w:val="en-GB"/>
              </w:rPr>
            </w:pPr>
            <w:r w:rsidRPr="005664BA">
              <w:rPr>
                <w:lang w:val="en-GB"/>
              </w:rPr>
              <w:t>Water Flux [Kg·m</w:t>
            </w:r>
            <w:r w:rsidRPr="005664BA">
              <w:rPr>
                <w:vertAlign w:val="superscript"/>
                <w:lang w:val="en-GB"/>
              </w:rPr>
              <w:t xml:space="preserve">-2 </w:t>
            </w:r>
            <w:r w:rsidRPr="005664BA">
              <w:rPr>
                <w:lang w:val="en-GB"/>
              </w:rPr>
              <w:t>·h</w:t>
            </w:r>
            <w:r w:rsidRPr="005664BA">
              <w:rPr>
                <w:vertAlign w:val="superscript"/>
                <w:lang w:val="en-GB"/>
              </w:rPr>
              <w:t>-1</w:t>
            </w:r>
            <w:r w:rsidRPr="005664BA">
              <w:rPr>
                <w:lang w:val="en-GB"/>
              </w:rPr>
              <w:t>]</w:t>
            </w:r>
          </w:p>
        </w:tc>
      </w:tr>
      <w:tr w:rsidR="00895647" w:rsidRPr="005664BA" w14:paraId="20A8ED65" w14:textId="3D0C78A3" w:rsidTr="00A82DA5">
        <w:tc>
          <w:tcPr>
            <w:tcW w:w="1418" w:type="dxa"/>
            <w:shd w:val="clear" w:color="auto" w:fill="FFFFFF"/>
          </w:tcPr>
          <w:p w14:paraId="3CFB9CEA" w14:textId="1D179E43" w:rsidR="00895647" w:rsidRPr="005664BA" w:rsidRDefault="00895647" w:rsidP="00895647">
            <w:pPr>
              <w:pStyle w:val="CETBodytext"/>
              <w:jc w:val="center"/>
              <w:rPr>
                <w:lang w:val="en-GB"/>
              </w:rPr>
            </w:pPr>
            <w:r w:rsidRPr="005664BA">
              <w:rPr>
                <w:lang w:val="en-GB"/>
              </w:rPr>
              <w:t>fs 0°C   – IL 30°C</w:t>
            </w:r>
          </w:p>
        </w:tc>
        <w:tc>
          <w:tcPr>
            <w:tcW w:w="1134" w:type="dxa"/>
            <w:shd w:val="clear" w:color="auto" w:fill="FFFFFF"/>
          </w:tcPr>
          <w:p w14:paraId="1BBF9AF8" w14:textId="6AA4FF39" w:rsidR="00895647" w:rsidRPr="005664BA" w:rsidRDefault="00895647" w:rsidP="00895647">
            <w:pPr>
              <w:pStyle w:val="CETBodytext"/>
              <w:jc w:val="center"/>
              <w:rPr>
                <w:lang w:val="en-GB"/>
              </w:rPr>
            </w:pPr>
            <w:r w:rsidRPr="005664BA">
              <w:rPr>
                <w:lang w:val="en-GB"/>
              </w:rPr>
              <w:t xml:space="preserve">1.5 </w:t>
            </w:r>
            <m:oMath>
              <m:r>
                <w:rPr>
                  <w:rFonts w:ascii="Cambria Math" w:hAnsi="Cambria Math"/>
                  <w:lang w:val="en-GB"/>
                </w:rPr>
                <m:t>∙</m:t>
              </m:r>
            </m:oMath>
            <w:r w:rsidR="00A2191F" w:rsidRPr="005664BA">
              <w:rPr>
                <w:lang w:val="en-GB"/>
              </w:rPr>
              <w:t xml:space="preserve"> 10</w:t>
            </w:r>
            <w:r w:rsidR="00A2191F" w:rsidRPr="005664BA">
              <w:rPr>
                <w:vertAlign w:val="superscript"/>
                <w:lang w:val="en-GB"/>
              </w:rPr>
              <w:t>-3</w:t>
            </w:r>
          </w:p>
        </w:tc>
        <w:tc>
          <w:tcPr>
            <w:tcW w:w="1134" w:type="dxa"/>
            <w:shd w:val="clear" w:color="auto" w:fill="FFFFFF"/>
          </w:tcPr>
          <w:p w14:paraId="50BEED39" w14:textId="56E02152" w:rsidR="00895647" w:rsidRPr="005664BA" w:rsidRDefault="00895647" w:rsidP="00895647">
            <w:pPr>
              <w:pStyle w:val="CETBodytext"/>
              <w:jc w:val="center"/>
              <w:rPr>
                <w:lang w:val="en-GB"/>
              </w:rPr>
            </w:pPr>
            <w:r w:rsidRPr="005664BA">
              <w:rPr>
                <w:lang w:val="en-GB"/>
              </w:rPr>
              <w:t xml:space="preserve">3.9 </w:t>
            </w:r>
            <m:oMath>
              <m:r>
                <w:rPr>
                  <w:rFonts w:ascii="Cambria Math" w:hAnsi="Cambria Math"/>
                  <w:lang w:val="en-GB"/>
                </w:rPr>
                <m:t>∙</m:t>
              </m:r>
            </m:oMath>
            <w:r w:rsidR="00A2191F" w:rsidRPr="005664BA">
              <w:rPr>
                <w:lang w:val="en-GB"/>
              </w:rPr>
              <w:t xml:space="preserve"> 10</w:t>
            </w:r>
            <w:r w:rsidR="00A2191F" w:rsidRPr="005664BA">
              <w:rPr>
                <w:vertAlign w:val="superscript"/>
                <w:lang w:val="en-GB"/>
              </w:rPr>
              <w:t>-3</w:t>
            </w:r>
          </w:p>
        </w:tc>
      </w:tr>
      <w:tr w:rsidR="00895647" w:rsidRPr="005664BA" w14:paraId="699E0A27" w14:textId="2BE7A95D" w:rsidTr="00A82DA5">
        <w:tc>
          <w:tcPr>
            <w:tcW w:w="1418" w:type="dxa"/>
            <w:shd w:val="clear" w:color="auto" w:fill="FFFFFF"/>
          </w:tcPr>
          <w:p w14:paraId="0BA7F23E" w14:textId="2E1F2C22" w:rsidR="00895647" w:rsidRPr="005664BA" w:rsidRDefault="00895647" w:rsidP="00895647">
            <w:pPr>
              <w:pStyle w:val="CETBodytext"/>
              <w:ind w:right="-1"/>
              <w:jc w:val="center"/>
              <w:rPr>
                <w:rFonts w:cs="Arial"/>
                <w:szCs w:val="18"/>
                <w:lang w:val="en-GB"/>
              </w:rPr>
            </w:pPr>
            <w:r w:rsidRPr="005664BA">
              <w:rPr>
                <w:lang w:val="en-GB"/>
              </w:rPr>
              <w:t>fs 30°C – IL 30°C</w:t>
            </w:r>
          </w:p>
        </w:tc>
        <w:tc>
          <w:tcPr>
            <w:tcW w:w="1134" w:type="dxa"/>
            <w:shd w:val="clear" w:color="auto" w:fill="FFFFFF"/>
          </w:tcPr>
          <w:p w14:paraId="4504F0FE" w14:textId="6F6B2B0A" w:rsidR="00895647" w:rsidRPr="005664BA" w:rsidRDefault="00895647" w:rsidP="00895647">
            <w:pPr>
              <w:pStyle w:val="CETBodytext"/>
              <w:ind w:right="-1"/>
              <w:jc w:val="center"/>
              <w:rPr>
                <w:rFonts w:cs="Arial"/>
                <w:szCs w:val="18"/>
                <w:lang w:val="en-GB"/>
              </w:rPr>
            </w:pPr>
            <w:r w:rsidRPr="005664BA">
              <w:rPr>
                <w:lang w:val="en-GB"/>
              </w:rPr>
              <w:t xml:space="preserve">4.2 </w:t>
            </w:r>
            <m:oMath>
              <m:r>
                <w:rPr>
                  <w:rFonts w:ascii="Cambria Math" w:hAnsi="Cambria Math"/>
                  <w:lang w:val="en-GB"/>
                </w:rPr>
                <m:t>∙</m:t>
              </m:r>
            </m:oMath>
            <w:r w:rsidR="00A2191F" w:rsidRPr="005664BA">
              <w:rPr>
                <w:lang w:val="en-GB"/>
              </w:rPr>
              <w:t xml:space="preserve"> 10</w:t>
            </w:r>
            <w:r w:rsidR="00A2191F" w:rsidRPr="005664BA">
              <w:rPr>
                <w:vertAlign w:val="superscript"/>
                <w:lang w:val="en-GB"/>
              </w:rPr>
              <w:t>-3</w:t>
            </w:r>
          </w:p>
        </w:tc>
        <w:tc>
          <w:tcPr>
            <w:tcW w:w="1134" w:type="dxa"/>
            <w:shd w:val="clear" w:color="auto" w:fill="FFFFFF"/>
          </w:tcPr>
          <w:p w14:paraId="4C1BFB7B" w14:textId="7D5F202E" w:rsidR="00895647" w:rsidRPr="005664BA" w:rsidRDefault="00895647" w:rsidP="00895647">
            <w:pPr>
              <w:pStyle w:val="CETBodytext"/>
              <w:ind w:right="-1"/>
              <w:jc w:val="center"/>
              <w:rPr>
                <w:rFonts w:cs="Arial"/>
                <w:szCs w:val="18"/>
                <w:lang w:val="en-GB"/>
              </w:rPr>
            </w:pPr>
            <w:r w:rsidRPr="005664BA">
              <w:rPr>
                <w:lang w:val="en-GB"/>
              </w:rPr>
              <w:t xml:space="preserve">8.1 </w:t>
            </w:r>
            <m:oMath>
              <m:r>
                <w:rPr>
                  <w:rFonts w:ascii="Cambria Math" w:hAnsi="Cambria Math"/>
                  <w:lang w:val="en-GB"/>
                </w:rPr>
                <m:t>∙</m:t>
              </m:r>
            </m:oMath>
            <w:r w:rsidR="00A2191F" w:rsidRPr="005664BA">
              <w:rPr>
                <w:lang w:val="en-GB"/>
              </w:rPr>
              <w:t xml:space="preserve"> 10</w:t>
            </w:r>
            <w:r w:rsidR="00A2191F" w:rsidRPr="005664BA">
              <w:rPr>
                <w:vertAlign w:val="superscript"/>
                <w:lang w:val="en-GB"/>
              </w:rPr>
              <w:t>-3</w:t>
            </w:r>
          </w:p>
        </w:tc>
      </w:tr>
      <w:tr w:rsidR="00895647" w:rsidRPr="005664BA" w14:paraId="0E12AAFB" w14:textId="018D2DC6" w:rsidTr="00A82DA5">
        <w:tc>
          <w:tcPr>
            <w:tcW w:w="1418" w:type="dxa"/>
            <w:shd w:val="clear" w:color="auto" w:fill="FFFFFF"/>
          </w:tcPr>
          <w:p w14:paraId="6EF857C0" w14:textId="7CECEC3D" w:rsidR="00895647" w:rsidRPr="005664BA" w:rsidRDefault="00895647" w:rsidP="00895647">
            <w:pPr>
              <w:pStyle w:val="CETBodytext"/>
              <w:ind w:right="-1"/>
              <w:jc w:val="center"/>
              <w:rPr>
                <w:rFonts w:cs="Arial"/>
                <w:szCs w:val="18"/>
                <w:lang w:val="en-GB"/>
              </w:rPr>
            </w:pPr>
            <w:r w:rsidRPr="005664BA">
              <w:rPr>
                <w:lang w:val="en-GB"/>
              </w:rPr>
              <w:t>fs 60°C – IL 30°C</w:t>
            </w:r>
          </w:p>
        </w:tc>
        <w:tc>
          <w:tcPr>
            <w:tcW w:w="1134" w:type="dxa"/>
            <w:shd w:val="clear" w:color="auto" w:fill="FFFFFF"/>
          </w:tcPr>
          <w:p w14:paraId="484B5BEF" w14:textId="45628729" w:rsidR="00895647" w:rsidRPr="005664BA" w:rsidRDefault="00895647" w:rsidP="00895647">
            <w:pPr>
              <w:pStyle w:val="CETBodytext"/>
              <w:ind w:right="-1"/>
              <w:jc w:val="center"/>
              <w:rPr>
                <w:rFonts w:cs="Arial"/>
                <w:szCs w:val="18"/>
                <w:lang w:val="en-GB"/>
              </w:rPr>
            </w:pPr>
            <w:r w:rsidRPr="005664BA">
              <w:rPr>
                <w:lang w:val="en-GB"/>
              </w:rPr>
              <w:t xml:space="preserve">6.3 </w:t>
            </w:r>
            <m:oMath>
              <m:r>
                <w:rPr>
                  <w:rFonts w:ascii="Cambria Math" w:hAnsi="Cambria Math"/>
                  <w:lang w:val="en-GB"/>
                </w:rPr>
                <m:t>∙</m:t>
              </m:r>
            </m:oMath>
            <w:r w:rsidR="00A2191F" w:rsidRPr="005664BA">
              <w:rPr>
                <w:lang w:val="en-GB"/>
              </w:rPr>
              <w:t xml:space="preserve"> 10</w:t>
            </w:r>
            <w:r w:rsidR="00A2191F" w:rsidRPr="005664BA">
              <w:rPr>
                <w:vertAlign w:val="superscript"/>
                <w:lang w:val="en-GB"/>
              </w:rPr>
              <w:t>-3</w:t>
            </w:r>
          </w:p>
        </w:tc>
        <w:tc>
          <w:tcPr>
            <w:tcW w:w="1134" w:type="dxa"/>
            <w:shd w:val="clear" w:color="auto" w:fill="FFFFFF"/>
          </w:tcPr>
          <w:p w14:paraId="490DA602" w14:textId="6FE812DF" w:rsidR="00895647" w:rsidRPr="005664BA" w:rsidRDefault="00895647" w:rsidP="00895647">
            <w:pPr>
              <w:pStyle w:val="CETBodytext"/>
              <w:ind w:right="-1"/>
              <w:jc w:val="center"/>
              <w:rPr>
                <w:rFonts w:cs="Arial"/>
                <w:szCs w:val="18"/>
                <w:lang w:val="en-GB"/>
              </w:rPr>
            </w:pPr>
            <w:r w:rsidRPr="005664BA">
              <w:rPr>
                <w:lang w:val="en-GB"/>
              </w:rPr>
              <w:t xml:space="preserve">16 </w:t>
            </w:r>
            <m:oMath>
              <m:r>
                <w:rPr>
                  <w:rFonts w:ascii="Cambria Math" w:hAnsi="Cambria Math"/>
                  <w:lang w:val="en-GB"/>
                </w:rPr>
                <m:t>∙</m:t>
              </m:r>
            </m:oMath>
            <w:r w:rsidR="00A2191F" w:rsidRPr="005664BA">
              <w:rPr>
                <w:lang w:val="en-GB"/>
              </w:rPr>
              <w:t xml:space="preserve"> 10</w:t>
            </w:r>
            <w:r w:rsidR="00A2191F" w:rsidRPr="005664BA">
              <w:rPr>
                <w:vertAlign w:val="superscript"/>
                <w:lang w:val="en-GB"/>
              </w:rPr>
              <w:t>-3</w:t>
            </w:r>
          </w:p>
        </w:tc>
      </w:tr>
      <w:tr w:rsidR="00895647" w:rsidRPr="005664BA" w14:paraId="36484441" w14:textId="45E35F87" w:rsidTr="00A82DA5">
        <w:tc>
          <w:tcPr>
            <w:tcW w:w="1418" w:type="dxa"/>
            <w:shd w:val="clear" w:color="auto" w:fill="FFFFFF"/>
          </w:tcPr>
          <w:p w14:paraId="7D3619C6" w14:textId="282FE2D6" w:rsidR="00895647" w:rsidRPr="005664BA" w:rsidRDefault="00895647" w:rsidP="00895647">
            <w:pPr>
              <w:pStyle w:val="CETBodytext"/>
              <w:ind w:right="-1"/>
              <w:jc w:val="center"/>
              <w:rPr>
                <w:rFonts w:cs="Arial"/>
                <w:szCs w:val="18"/>
                <w:lang w:val="en-GB"/>
              </w:rPr>
            </w:pPr>
            <w:r w:rsidRPr="005664BA">
              <w:rPr>
                <w:lang w:val="en-GB"/>
              </w:rPr>
              <w:t>fs 30°C – IL 60°C</w:t>
            </w:r>
          </w:p>
        </w:tc>
        <w:tc>
          <w:tcPr>
            <w:tcW w:w="1134" w:type="dxa"/>
            <w:shd w:val="clear" w:color="auto" w:fill="FFFFFF"/>
          </w:tcPr>
          <w:p w14:paraId="1F87C2C8" w14:textId="3528F331" w:rsidR="00895647" w:rsidRPr="005664BA" w:rsidRDefault="00895647" w:rsidP="00895647">
            <w:pPr>
              <w:pStyle w:val="CETBodytext"/>
              <w:ind w:right="-1"/>
              <w:jc w:val="center"/>
              <w:rPr>
                <w:rFonts w:cs="Arial"/>
                <w:szCs w:val="18"/>
                <w:lang w:val="en-GB"/>
              </w:rPr>
            </w:pPr>
            <w:r w:rsidRPr="005664BA">
              <w:rPr>
                <w:lang w:val="en-GB"/>
              </w:rPr>
              <w:t xml:space="preserve">4.9 </w:t>
            </w:r>
            <m:oMath>
              <m:r>
                <w:rPr>
                  <w:rFonts w:ascii="Cambria Math" w:hAnsi="Cambria Math"/>
                  <w:lang w:val="en-GB"/>
                </w:rPr>
                <m:t>∙</m:t>
              </m:r>
            </m:oMath>
            <w:r w:rsidR="00A2191F" w:rsidRPr="005664BA">
              <w:rPr>
                <w:lang w:val="en-GB"/>
              </w:rPr>
              <w:t xml:space="preserve"> 10</w:t>
            </w:r>
            <w:r w:rsidR="00A2191F" w:rsidRPr="005664BA">
              <w:rPr>
                <w:vertAlign w:val="superscript"/>
                <w:lang w:val="en-GB"/>
              </w:rPr>
              <w:t>-3</w:t>
            </w:r>
          </w:p>
        </w:tc>
        <w:tc>
          <w:tcPr>
            <w:tcW w:w="1134" w:type="dxa"/>
            <w:shd w:val="clear" w:color="auto" w:fill="FFFFFF"/>
          </w:tcPr>
          <w:p w14:paraId="2AFDF9EB" w14:textId="7F067424" w:rsidR="00895647" w:rsidRPr="005664BA" w:rsidRDefault="00895647" w:rsidP="00895647">
            <w:pPr>
              <w:pStyle w:val="CETBodytext"/>
              <w:ind w:right="-1"/>
              <w:jc w:val="center"/>
              <w:rPr>
                <w:rFonts w:cs="Arial"/>
                <w:szCs w:val="18"/>
                <w:lang w:val="en-GB"/>
              </w:rPr>
            </w:pPr>
            <w:r w:rsidRPr="005664BA">
              <w:rPr>
                <w:lang w:val="en-GB"/>
              </w:rPr>
              <w:t xml:space="preserve">37 </w:t>
            </w:r>
            <m:oMath>
              <m:r>
                <w:rPr>
                  <w:rFonts w:ascii="Cambria Math" w:hAnsi="Cambria Math"/>
                  <w:lang w:val="en-GB"/>
                </w:rPr>
                <m:t>∙</m:t>
              </m:r>
            </m:oMath>
            <w:r w:rsidR="00A2191F" w:rsidRPr="005664BA">
              <w:rPr>
                <w:lang w:val="en-GB"/>
              </w:rPr>
              <w:t xml:space="preserve"> 10</w:t>
            </w:r>
            <w:r w:rsidR="00A2191F" w:rsidRPr="005664BA">
              <w:rPr>
                <w:vertAlign w:val="superscript"/>
                <w:lang w:val="en-GB"/>
              </w:rPr>
              <w:t>-3</w:t>
            </w:r>
          </w:p>
        </w:tc>
      </w:tr>
    </w:tbl>
    <w:p w14:paraId="32F34238" w14:textId="501DFD30" w:rsidR="005228BA" w:rsidRPr="005664BA" w:rsidRDefault="007636A2" w:rsidP="00CC0E7A">
      <w:pPr>
        <w:pStyle w:val="CETBodytext"/>
        <w:rPr>
          <w:lang w:val="en-GB"/>
        </w:rPr>
      </w:pPr>
      <w:r w:rsidRPr="005664BA">
        <w:rPr>
          <w:lang w:val="en-GB"/>
        </w:rPr>
        <w:br w:type="textWrapping" w:clear="all"/>
      </w:r>
    </w:p>
    <w:p w14:paraId="2D3B853F" w14:textId="36D5885A" w:rsidR="00F44B1E" w:rsidRPr="005664BA" w:rsidRDefault="00B27CA0" w:rsidP="00CC0E7A">
      <w:pPr>
        <w:pStyle w:val="CETBodytext"/>
        <w:rPr>
          <w:lang w:val="en-GB"/>
        </w:rPr>
      </w:pPr>
      <w:r w:rsidRPr="005664BA">
        <w:rPr>
          <w:lang w:val="en-GB"/>
        </w:rPr>
        <w:t xml:space="preserve">From the results presented in Table </w:t>
      </w:r>
      <w:r w:rsidR="00224C51">
        <w:rPr>
          <w:lang w:val="en-GB"/>
        </w:rPr>
        <w:t>3</w:t>
      </w:r>
      <w:r w:rsidRPr="005664BA">
        <w:rPr>
          <w:lang w:val="en-GB"/>
        </w:rPr>
        <w:t>, it can be corroborated that the change in the temperature of the aqueous feed phase generates the greatest effect on the mass transfer of butanol, following a clear trend that with a higher feed phase temperature</w:t>
      </w:r>
      <w:r w:rsidR="00FA5B35" w:rsidRPr="005664BA">
        <w:rPr>
          <w:lang w:val="en-GB"/>
        </w:rPr>
        <w:t>, a gre</w:t>
      </w:r>
      <w:r w:rsidRPr="005664BA">
        <w:rPr>
          <w:lang w:val="en-GB"/>
        </w:rPr>
        <w:t xml:space="preserve">ater transmembrane flux of butanol is observed, which responds directly to an Arrhenius-type </w:t>
      </w:r>
      <w:r w:rsidR="008E4589" w:rsidRPr="005664BA">
        <w:rPr>
          <w:lang w:val="en-GB"/>
        </w:rPr>
        <w:t>behaviour</w:t>
      </w:r>
      <w:r w:rsidRPr="005664BA">
        <w:rPr>
          <w:lang w:val="en-GB"/>
        </w:rPr>
        <w:t xml:space="preserve"> of the butanol/PDMS diffusion coefficient, a variable that governs the transfer phenomenon of the process. </w:t>
      </w:r>
      <w:r w:rsidR="00FA5B35" w:rsidRPr="005664BA">
        <w:rPr>
          <w:lang w:val="en-GB"/>
        </w:rPr>
        <w:t>This e</w:t>
      </w:r>
      <w:r w:rsidRPr="005664BA">
        <w:rPr>
          <w:lang w:val="en-GB"/>
        </w:rPr>
        <w:t xml:space="preserve">ffect is not observed when it is the organic-organic extraction phase that </w:t>
      </w:r>
      <w:r w:rsidRPr="005664BA">
        <w:rPr>
          <w:lang w:val="en-GB"/>
        </w:rPr>
        <w:lastRenderedPageBreak/>
        <w:t>increases its temperature, which also indicates that it is the butanol/PDMS interaction in the contact surface from the feeding phase to the membrane, the variable that is seen enhanced with an increase in temperature and that corresponds to the solution-</w:t>
      </w:r>
      <w:r w:rsidR="005D51C5" w:rsidRPr="005664BA">
        <w:rPr>
          <w:lang w:val="en-GB"/>
        </w:rPr>
        <w:t>d</w:t>
      </w:r>
      <w:r w:rsidRPr="005664BA">
        <w:rPr>
          <w:lang w:val="en-GB"/>
        </w:rPr>
        <w:t>iffusion model that governs the phenomena of permeation</w:t>
      </w:r>
      <w:r w:rsidR="005D51C5" w:rsidRPr="005664BA">
        <w:rPr>
          <w:lang w:val="en-GB"/>
        </w:rPr>
        <w:t xml:space="preserve"> a</w:t>
      </w:r>
      <w:r w:rsidRPr="005664BA">
        <w:rPr>
          <w:lang w:val="en-GB"/>
        </w:rPr>
        <w:t xml:space="preserve"> in dense membrane.</w:t>
      </w:r>
    </w:p>
    <w:p w14:paraId="01748CEB" w14:textId="38DCAA61" w:rsidR="005D51C5" w:rsidRPr="005664BA" w:rsidRDefault="005D51C5" w:rsidP="005D51C5">
      <w:pPr>
        <w:pStyle w:val="CETBodytext"/>
        <w:rPr>
          <w:lang w:val="en-GB"/>
        </w:rPr>
      </w:pPr>
      <w:r w:rsidRPr="005664BA">
        <w:rPr>
          <w:lang w:val="en-GB"/>
        </w:rPr>
        <w:t>For water, the same trend as for butanol can be observed, thus indicating how both diffusion coefficients are affected in a similar way by a change in temperature. The resulting water flow that presents an unexpected value is 37</w:t>
      </w:r>
      <m:oMath>
        <m:r>
          <w:rPr>
            <w:rFonts w:ascii="Cambria Math" w:hAnsi="Cambria Math"/>
            <w:lang w:val="en-GB"/>
          </w:rPr>
          <m:t>∙</m:t>
        </m:r>
      </m:oMath>
      <w:r w:rsidRPr="005664BA">
        <w:rPr>
          <w:lang w:val="en-GB"/>
        </w:rPr>
        <w:t xml:space="preserve"> 10</w:t>
      </w:r>
      <w:r w:rsidRPr="005664BA">
        <w:rPr>
          <w:vertAlign w:val="superscript"/>
          <w:lang w:val="en-GB"/>
        </w:rPr>
        <w:t>-3</w:t>
      </w:r>
      <w:r w:rsidRPr="005664BA">
        <w:rPr>
          <w:lang w:val="en-GB"/>
        </w:rPr>
        <w:t xml:space="preserve"> </w:t>
      </w:r>
      <w:r w:rsidR="004A0A3A">
        <w:rPr>
          <w:lang w:val="en-GB"/>
        </w:rPr>
        <w:t xml:space="preserve">kg m-2 h-1 </w:t>
      </w:r>
      <w:r w:rsidRPr="005664BA">
        <w:rPr>
          <w:lang w:val="en-GB"/>
        </w:rPr>
        <w:t>for the condition fs 30</w:t>
      </w:r>
      <w:r w:rsidR="001E36FA">
        <w:rPr>
          <w:lang w:val="en-GB"/>
        </w:rPr>
        <w:t xml:space="preserve"> </w:t>
      </w:r>
      <w:r w:rsidRPr="005664BA">
        <w:rPr>
          <w:lang w:val="en-GB"/>
        </w:rPr>
        <w:t>°C – IL 60</w:t>
      </w:r>
      <w:r w:rsidR="001E36FA">
        <w:rPr>
          <w:lang w:val="en-GB"/>
        </w:rPr>
        <w:t xml:space="preserve"> </w:t>
      </w:r>
      <w:r w:rsidRPr="005664BA">
        <w:rPr>
          <w:lang w:val="en-GB"/>
        </w:rPr>
        <w:t>°C, which can be explained by the increase in the solubility of water in the ionic liquid phase, considered highly hydrophobic, then losing its hydrophobic character in part, due to the increase in temperature, being an effect also observed for the viscosity and density variables mainly, where small changes in temperature generate a significant effect on the ionic liquid.</w:t>
      </w:r>
    </w:p>
    <w:p w14:paraId="1CEDAA87" w14:textId="6B13D8F0" w:rsidR="00F21BD2" w:rsidRPr="005664BA" w:rsidRDefault="00F21BD2" w:rsidP="000F08BB">
      <w:pPr>
        <w:pStyle w:val="CETheadingx"/>
      </w:pPr>
      <w:r w:rsidRPr="005664BA">
        <w:t xml:space="preserve">Selectivity </w:t>
      </w:r>
    </w:p>
    <w:p w14:paraId="10EB2F8E" w14:textId="53D2AD49" w:rsidR="00FC5DD9" w:rsidRPr="005664BA" w:rsidRDefault="00BD63E0" w:rsidP="00CC0E7A">
      <w:pPr>
        <w:pStyle w:val="CETBodytext"/>
        <w:rPr>
          <w:lang w:val="en-GB"/>
        </w:rPr>
      </w:pPr>
      <w:r w:rsidRPr="005664BA">
        <w:rPr>
          <w:lang w:val="en-GB"/>
        </w:rPr>
        <w:t xml:space="preserve">From equation (3) it is possible to obtain the selectivity of butanol over water, these results are presented in table </w:t>
      </w:r>
      <w:r w:rsidR="00224C51">
        <w:rPr>
          <w:lang w:val="en-GB"/>
        </w:rPr>
        <w:t>4</w:t>
      </w:r>
      <w:r w:rsidRPr="005664BA">
        <w:rPr>
          <w:lang w:val="en-GB"/>
        </w:rPr>
        <w:t>.</w:t>
      </w:r>
    </w:p>
    <w:p w14:paraId="6AD65B79" w14:textId="544EA801" w:rsidR="00124B28" w:rsidRPr="005664BA" w:rsidRDefault="00FC5DD9" w:rsidP="00CC0E7A">
      <w:pPr>
        <w:pStyle w:val="CETBodytext"/>
        <w:rPr>
          <w:i/>
          <w:lang w:val="en-GB"/>
        </w:rPr>
      </w:pPr>
      <w:r w:rsidRPr="005664BA">
        <w:rPr>
          <w:i/>
          <w:lang w:val="en-GB"/>
        </w:rPr>
        <w:t xml:space="preserve">Table </w:t>
      </w:r>
      <w:r w:rsidR="00224C51">
        <w:rPr>
          <w:i/>
          <w:lang w:val="en-GB"/>
        </w:rPr>
        <w:t>4</w:t>
      </w:r>
      <w:r w:rsidRPr="005664BA">
        <w:rPr>
          <w:i/>
          <w:lang w:val="en-GB"/>
        </w:rPr>
        <w:t xml:space="preserve">: Average values of the selectivity calculated for perstraction assays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992"/>
      </w:tblGrid>
      <w:tr w:rsidR="00B62825" w:rsidRPr="005664BA" w14:paraId="659F23AD" w14:textId="77777777" w:rsidTr="00DA0CB3">
        <w:tc>
          <w:tcPr>
            <w:tcW w:w="1560" w:type="dxa"/>
            <w:tcBorders>
              <w:top w:val="single" w:sz="12" w:space="0" w:color="008000"/>
              <w:bottom w:val="single" w:sz="6" w:space="0" w:color="008000"/>
            </w:tcBorders>
            <w:shd w:val="clear" w:color="auto" w:fill="FFFFFF"/>
          </w:tcPr>
          <w:p w14:paraId="4A65E188" w14:textId="77777777" w:rsidR="00B62825" w:rsidRPr="005664BA" w:rsidRDefault="00B62825" w:rsidP="00B94148">
            <w:pPr>
              <w:pStyle w:val="CETBodytext"/>
              <w:jc w:val="center"/>
              <w:rPr>
                <w:lang w:val="en-GB"/>
              </w:rPr>
            </w:pPr>
            <w:r w:rsidRPr="005664BA">
              <w:rPr>
                <w:lang w:val="en-GB"/>
              </w:rPr>
              <w:t>Temperature combination</w:t>
            </w:r>
          </w:p>
        </w:tc>
        <w:tc>
          <w:tcPr>
            <w:tcW w:w="992" w:type="dxa"/>
            <w:tcBorders>
              <w:top w:val="single" w:sz="12" w:space="0" w:color="008000"/>
              <w:bottom w:val="single" w:sz="6" w:space="0" w:color="008000"/>
            </w:tcBorders>
            <w:shd w:val="clear" w:color="auto" w:fill="FFFFFF"/>
          </w:tcPr>
          <w:p w14:paraId="4189FC41" w14:textId="19DC7C46" w:rsidR="00B62825" w:rsidRPr="005664BA" w:rsidRDefault="00000000" w:rsidP="00B94148">
            <w:pPr>
              <w:pStyle w:val="CETBodytext"/>
              <w:jc w:val="center"/>
              <w:rPr>
                <w:lang w:val="en-GB"/>
              </w:rPr>
            </w:pPr>
            <m:oMathPara>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B/w</m:t>
                    </m:r>
                  </m:sub>
                </m:sSub>
              </m:oMath>
            </m:oMathPara>
          </w:p>
        </w:tc>
      </w:tr>
      <w:tr w:rsidR="00EE1365" w:rsidRPr="005664BA" w14:paraId="587C7D79" w14:textId="77777777" w:rsidTr="00DA0CB3">
        <w:tc>
          <w:tcPr>
            <w:tcW w:w="1560" w:type="dxa"/>
            <w:shd w:val="clear" w:color="auto" w:fill="FFFFFF"/>
          </w:tcPr>
          <w:p w14:paraId="25288A6D" w14:textId="2675E7A6" w:rsidR="00EE1365" w:rsidRPr="005664BA" w:rsidRDefault="00EE1365" w:rsidP="00EE1365">
            <w:pPr>
              <w:pStyle w:val="CETBodytext"/>
              <w:jc w:val="center"/>
              <w:rPr>
                <w:lang w:val="en-GB"/>
              </w:rPr>
            </w:pPr>
            <w:r w:rsidRPr="005664BA">
              <w:rPr>
                <w:lang w:val="en-GB"/>
              </w:rPr>
              <w:t>fs 0</w:t>
            </w:r>
            <w:r w:rsidR="008E4589">
              <w:rPr>
                <w:lang w:val="en-GB"/>
              </w:rPr>
              <w:t xml:space="preserve"> </w:t>
            </w:r>
            <w:r w:rsidRPr="005664BA">
              <w:rPr>
                <w:lang w:val="en-GB"/>
              </w:rPr>
              <w:t>°C   – IL 30</w:t>
            </w:r>
            <w:r w:rsidR="008E4589">
              <w:rPr>
                <w:lang w:val="en-GB"/>
              </w:rPr>
              <w:t xml:space="preserve"> </w:t>
            </w:r>
            <w:r w:rsidRPr="005664BA">
              <w:rPr>
                <w:lang w:val="en-GB"/>
              </w:rPr>
              <w:t>°C</w:t>
            </w:r>
          </w:p>
        </w:tc>
        <w:tc>
          <w:tcPr>
            <w:tcW w:w="992" w:type="dxa"/>
            <w:shd w:val="clear" w:color="auto" w:fill="FFFFFF"/>
          </w:tcPr>
          <w:p w14:paraId="1F5344A0" w14:textId="52C66F7A" w:rsidR="00EE1365" w:rsidRPr="005664BA" w:rsidRDefault="00EE1365" w:rsidP="00EE1365">
            <w:pPr>
              <w:pStyle w:val="CETBodytext"/>
              <w:jc w:val="center"/>
              <w:rPr>
                <w:lang w:val="en-GB"/>
              </w:rPr>
            </w:pPr>
            <w:r w:rsidRPr="005664BA">
              <w:rPr>
                <w:lang w:val="en-GB"/>
              </w:rPr>
              <w:t>52.0</w:t>
            </w:r>
          </w:p>
        </w:tc>
      </w:tr>
      <w:tr w:rsidR="00EE1365" w:rsidRPr="005664BA" w14:paraId="31ADFF0A" w14:textId="77777777" w:rsidTr="00DA0CB3">
        <w:tc>
          <w:tcPr>
            <w:tcW w:w="1560" w:type="dxa"/>
            <w:shd w:val="clear" w:color="auto" w:fill="FFFFFF"/>
          </w:tcPr>
          <w:p w14:paraId="3AE67282" w14:textId="153E4E58" w:rsidR="00EE1365" w:rsidRPr="005664BA" w:rsidRDefault="00EE1365" w:rsidP="00EE1365">
            <w:pPr>
              <w:pStyle w:val="CETBodytext"/>
              <w:ind w:right="-1"/>
              <w:jc w:val="center"/>
              <w:rPr>
                <w:rFonts w:cs="Arial"/>
                <w:szCs w:val="18"/>
                <w:lang w:val="en-GB"/>
              </w:rPr>
            </w:pPr>
            <w:r w:rsidRPr="005664BA">
              <w:rPr>
                <w:lang w:val="en-GB"/>
              </w:rPr>
              <w:t>fs 30</w:t>
            </w:r>
            <w:r w:rsidR="008E4589">
              <w:rPr>
                <w:lang w:val="en-GB"/>
              </w:rPr>
              <w:t xml:space="preserve"> </w:t>
            </w:r>
            <w:r w:rsidRPr="005664BA">
              <w:rPr>
                <w:lang w:val="en-GB"/>
              </w:rPr>
              <w:t>°C – IL 30</w:t>
            </w:r>
            <w:r w:rsidR="008E4589">
              <w:rPr>
                <w:lang w:val="en-GB"/>
              </w:rPr>
              <w:t xml:space="preserve"> </w:t>
            </w:r>
            <w:r w:rsidRPr="005664BA">
              <w:rPr>
                <w:lang w:val="en-GB"/>
              </w:rPr>
              <w:t>°C</w:t>
            </w:r>
          </w:p>
        </w:tc>
        <w:tc>
          <w:tcPr>
            <w:tcW w:w="992" w:type="dxa"/>
            <w:shd w:val="clear" w:color="auto" w:fill="FFFFFF"/>
          </w:tcPr>
          <w:p w14:paraId="35C3C01E" w14:textId="42CE56E0" w:rsidR="00EE1365" w:rsidRPr="005664BA" w:rsidRDefault="00EE1365" w:rsidP="00EE1365">
            <w:pPr>
              <w:pStyle w:val="CETBodytext"/>
              <w:ind w:right="-1"/>
              <w:jc w:val="center"/>
              <w:rPr>
                <w:rFonts w:cs="Arial"/>
                <w:szCs w:val="18"/>
                <w:lang w:val="en-GB"/>
              </w:rPr>
            </w:pPr>
            <w:r w:rsidRPr="005664BA">
              <w:rPr>
                <w:rFonts w:cs="Arial"/>
                <w:szCs w:val="18"/>
                <w:lang w:val="en-GB"/>
              </w:rPr>
              <w:t>58.3</w:t>
            </w:r>
          </w:p>
        </w:tc>
      </w:tr>
      <w:tr w:rsidR="00EE1365" w:rsidRPr="005664BA" w14:paraId="266EE9E5" w14:textId="77777777" w:rsidTr="00DA0CB3">
        <w:tc>
          <w:tcPr>
            <w:tcW w:w="1560" w:type="dxa"/>
            <w:shd w:val="clear" w:color="auto" w:fill="FFFFFF"/>
          </w:tcPr>
          <w:p w14:paraId="7B1DE8B0" w14:textId="514068B8" w:rsidR="00EE1365" w:rsidRPr="005664BA" w:rsidRDefault="00EE1365" w:rsidP="00EE1365">
            <w:pPr>
              <w:pStyle w:val="CETBodytext"/>
              <w:ind w:right="-1"/>
              <w:jc w:val="center"/>
              <w:rPr>
                <w:rFonts w:cs="Arial"/>
                <w:szCs w:val="18"/>
                <w:lang w:val="en-GB"/>
              </w:rPr>
            </w:pPr>
            <w:r w:rsidRPr="005664BA">
              <w:rPr>
                <w:lang w:val="en-GB"/>
              </w:rPr>
              <w:t>fs 60</w:t>
            </w:r>
            <w:r w:rsidR="008E4589">
              <w:rPr>
                <w:lang w:val="en-GB"/>
              </w:rPr>
              <w:t xml:space="preserve"> </w:t>
            </w:r>
            <w:r w:rsidRPr="005664BA">
              <w:rPr>
                <w:lang w:val="en-GB"/>
              </w:rPr>
              <w:t>°C – IL 30</w:t>
            </w:r>
            <w:r w:rsidR="008E4589">
              <w:rPr>
                <w:lang w:val="en-GB"/>
              </w:rPr>
              <w:t xml:space="preserve"> </w:t>
            </w:r>
            <w:r w:rsidRPr="005664BA">
              <w:rPr>
                <w:lang w:val="en-GB"/>
              </w:rPr>
              <w:t>°C</w:t>
            </w:r>
          </w:p>
        </w:tc>
        <w:tc>
          <w:tcPr>
            <w:tcW w:w="992" w:type="dxa"/>
            <w:shd w:val="clear" w:color="auto" w:fill="FFFFFF"/>
          </w:tcPr>
          <w:p w14:paraId="4574A1C5" w14:textId="34F8F16A" w:rsidR="00EE1365" w:rsidRPr="005664BA" w:rsidRDefault="00EE1365" w:rsidP="00EE1365">
            <w:pPr>
              <w:pStyle w:val="CETBodytext"/>
              <w:ind w:right="-1"/>
              <w:jc w:val="center"/>
              <w:rPr>
                <w:rFonts w:cs="Arial"/>
                <w:szCs w:val="18"/>
                <w:lang w:val="en-GB"/>
              </w:rPr>
            </w:pPr>
            <w:r w:rsidRPr="005664BA">
              <w:rPr>
                <w:rFonts w:cs="Arial"/>
                <w:szCs w:val="18"/>
                <w:lang w:val="en-GB"/>
              </w:rPr>
              <w:t>41.3</w:t>
            </w:r>
          </w:p>
        </w:tc>
      </w:tr>
      <w:tr w:rsidR="00EE1365" w:rsidRPr="005664BA" w14:paraId="0DE92E22" w14:textId="77777777" w:rsidTr="00DA0CB3">
        <w:tc>
          <w:tcPr>
            <w:tcW w:w="1560" w:type="dxa"/>
            <w:shd w:val="clear" w:color="auto" w:fill="FFFFFF"/>
          </w:tcPr>
          <w:p w14:paraId="080FBC2E" w14:textId="4FE40C2D" w:rsidR="00EE1365" w:rsidRPr="005664BA" w:rsidRDefault="00EE1365" w:rsidP="00EE1365">
            <w:pPr>
              <w:pStyle w:val="CETBodytext"/>
              <w:ind w:right="-1"/>
              <w:jc w:val="center"/>
              <w:rPr>
                <w:rFonts w:cs="Arial"/>
                <w:szCs w:val="18"/>
                <w:lang w:val="en-GB"/>
              </w:rPr>
            </w:pPr>
            <w:r w:rsidRPr="005664BA">
              <w:rPr>
                <w:lang w:val="en-GB"/>
              </w:rPr>
              <w:t>fs 30</w:t>
            </w:r>
            <w:r w:rsidR="008E4589">
              <w:rPr>
                <w:lang w:val="en-GB"/>
              </w:rPr>
              <w:t xml:space="preserve"> </w:t>
            </w:r>
            <w:r w:rsidRPr="005664BA">
              <w:rPr>
                <w:lang w:val="en-GB"/>
              </w:rPr>
              <w:t>°C – IL 60</w:t>
            </w:r>
            <w:r w:rsidR="008E4589">
              <w:rPr>
                <w:lang w:val="en-GB"/>
              </w:rPr>
              <w:t xml:space="preserve"> </w:t>
            </w:r>
            <w:r w:rsidRPr="005664BA">
              <w:rPr>
                <w:lang w:val="en-GB"/>
              </w:rPr>
              <w:t>°C</w:t>
            </w:r>
          </w:p>
        </w:tc>
        <w:tc>
          <w:tcPr>
            <w:tcW w:w="992" w:type="dxa"/>
            <w:shd w:val="clear" w:color="auto" w:fill="FFFFFF"/>
          </w:tcPr>
          <w:p w14:paraId="5EB2D6D9" w14:textId="0B203F78" w:rsidR="00EE1365" w:rsidRPr="005664BA" w:rsidRDefault="00EE1365" w:rsidP="00EE1365">
            <w:pPr>
              <w:pStyle w:val="CETBodytext"/>
              <w:ind w:right="-1"/>
              <w:jc w:val="center"/>
              <w:rPr>
                <w:rFonts w:cs="Arial"/>
                <w:szCs w:val="18"/>
                <w:lang w:val="en-GB"/>
              </w:rPr>
            </w:pPr>
            <w:r w:rsidRPr="005664BA">
              <w:rPr>
                <w:rFonts w:cs="Arial"/>
                <w:szCs w:val="18"/>
                <w:lang w:val="en-GB"/>
              </w:rPr>
              <w:t>12.3</w:t>
            </w:r>
          </w:p>
        </w:tc>
      </w:tr>
    </w:tbl>
    <w:p w14:paraId="0DE2A1CD" w14:textId="77777777" w:rsidR="00B62825" w:rsidRPr="005664BA" w:rsidRDefault="00B62825" w:rsidP="00CC0E7A">
      <w:pPr>
        <w:pStyle w:val="CETBodytext"/>
        <w:rPr>
          <w:lang w:val="en-GB"/>
        </w:rPr>
      </w:pPr>
    </w:p>
    <w:p w14:paraId="3C02EC10" w14:textId="34FAE016" w:rsidR="000A7319" w:rsidRPr="005664BA" w:rsidRDefault="00BD63E0" w:rsidP="00CC0E7A">
      <w:pPr>
        <w:pStyle w:val="CETBodytext"/>
        <w:rPr>
          <w:lang w:val="en-GB"/>
        </w:rPr>
      </w:pPr>
      <w:r w:rsidRPr="005664BA">
        <w:rPr>
          <w:lang w:val="en-GB"/>
        </w:rPr>
        <w:t>The selectivity analysis allows us to corroborate much more clearly</w:t>
      </w:r>
      <w:r w:rsidR="002557FF" w:rsidRPr="005664BA">
        <w:rPr>
          <w:lang w:val="en-GB"/>
        </w:rPr>
        <w:t>,</w:t>
      </w:r>
      <w:r w:rsidRPr="005664BA">
        <w:rPr>
          <w:lang w:val="en-GB"/>
        </w:rPr>
        <w:t xml:space="preserve"> the effect of the temperature between both compounds </w:t>
      </w:r>
      <w:r w:rsidR="002557FF" w:rsidRPr="005664BA">
        <w:rPr>
          <w:lang w:val="en-GB"/>
        </w:rPr>
        <w:t>(</w:t>
      </w:r>
      <w:r w:rsidRPr="005664BA">
        <w:rPr>
          <w:lang w:val="en-GB"/>
        </w:rPr>
        <w:t>the one of interest and the undesired one</w:t>
      </w:r>
      <w:r w:rsidR="002557FF" w:rsidRPr="005664BA">
        <w:rPr>
          <w:lang w:val="en-GB"/>
        </w:rPr>
        <w:t>)</w:t>
      </w:r>
      <w:r w:rsidRPr="005664BA">
        <w:rPr>
          <w:lang w:val="en-GB"/>
        </w:rPr>
        <w:t xml:space="preserve">, being able to observe how, despite having a relatively high transmembrane flux of butanol, the condition </w:t>
      </w:r>
      <w:r w:rsidR="002557FF" w:rsidRPr="005664BA">
        <w:rPr>
          <w:lang w:val="en-GB"/>
        </w:rPr>
        <w:t xml:space="preserve">for </w:t>
      </w:r>
      <w:r w:rsidRPr="005664BA">
        <w:rPr>
          <w:lang w:val="en-GB"/>
        </w:rPr>
        <w:t>fs 60</w:t>
      </w:r>
      <w:r w:rsidR="008E4589">
        <w:rPr>
          <w:lang w:val="en-GB"/>
        </w:rPr>
        <w:t xml:space="preserve"> </w:t>
      </w:r>
      <w:r w:rsidRPr="005664BA">
        <w:rPr>
          <w:lang w:val="en-GB"/>
        </w:rPr>
        <w:t>°C -– IL 30</w:t>
      </w:r>
      <w:r w:rsidR="008E4589">
        <w:rPr>
          <w:lang w:val="en-GB"/>
        </w:rPr>
        <w:t xml:space="preserve"> </w:t>
      </w:r>
      <w:r w:rsidRPr="005664BA">
        <w:rPr>
          <w:lang w:val="en-GB"/>
        </w:rPr>
        <w:t>°C also has a high water flux, which limits the transfer process, not necessarily due to a competitive mass transfer, but simply, the water value increases more when the temperature of the aqueous phase does, considering its greater potential for transfer by concentratio</w:t>
      </w:r>
      <w:r w:rsidR="002557FF" w:rsidRPr="005664BA">
        <w:rPr>
          <w:lang w:val="en-GB"/>
        </w:rPr>
        <w:t>n</w:t>
      </w:r>
      <w:r w:rsidRPr="005664BA">
        <w:rPr>
          <w:lang w:val="en-GB"/>
        </w:rPr>
        <w:t>, as well as the increase in</w:t>
      </w:r>
      <w:r w:rsidR="002557FF" w:rsidRPr="005664BA">
        <w:rPr>
          <w:lang w:val="en-GB"/>
        </w:rPr>
        <w:t xml:space="preserve"> the</w:t>
      </w:r>
      <w:r w:rsidRPr="005664BA">
        <w:rPr>
          <w:lang w:val="en-GB"/>
        </w:rPr>
        <w:t xml:space="preserve"> vapor pressure of this phase.</w:t>
      </w:r>
    </w:p>
    <w:p w14:paraId="42B6581F" w14:textId="68900A13" w:rsidR="000A7319" w:rsidRPr="005664BA" w:rsidRDefault="00CE391E" w:rsidP="00CC0E7A">
      <w:pPr>
        <w:pStyle w:val="CETBodytext"/>
        <w:rPr>
          <w:lang w:val="en-GB"/>
        </w:rPr>
      </w:pPr>
      <w:r w:rsidRPr="005664BA">
        <w:rPr>
          <w:lang w:val="en-GB"/>
        </w:rPr>
        <w:t>Finally, the best selectivity result</w:t>
      </w:r>
      <w:r w:rsidR="002557FF" w:rsidRPr="005664BA">
        <w:rPr>
          <w:lang w:val="en-GB"/>
        </w:rPr>
        <w:t xml:space="preserve"> is found</w:t>
      </w:r>
      <w:r w:rsidRPr="005664BA">
        <w:rPr>
          <w:lang w:val="en-GB"/>
        </w:rPr>
        <w:t xml:space="preserve"> when the temperature of both</w:t>
      </w:r>
      <w:r w:rsidR="002557FF" w:rsidRPr="005664BA">
        <w:rPr>
          <w:lang w:val="en-GB"/>
        </w:rPr>
        <w:t xml:space="preserve"> compound</w:t>
      </w:r>
      <w:r w:rsidRPr="005664BA">
        <w:rPr>
          <w:lang w:val="en-GB"/>
        </w:rPr>
        <w:t xml:space="preserve"> is 30</w:t>
      </w:r>
      <w:r w:rsidR="008E4589">
        <w:rPr>
          <w:lang w:val="en-GB"/>
        </w:rPr>
        <w:t xml:space="preserve"> </w:t>
      </w:r>
      <w:r w:rsidRPr="005664BA">
        <w:rPr>
          <w:lang w:val="en-GB"/>
        </w:rPr>
        <w:t>°C</w:t>
      </w:r>
      <w:r w:rsidR="002557FF" w:rsidRPr="005664BA">
        <w:rPr>
          <w:lang w:val="en-GB"/>
        </w:rPr>
        <w:t>. This</w:t>
      </w:r>
      <w:r w:rsidRPr="005664BA">
        <w:rPr>
          <w:lang w:val="en-GB"/>
        </w:rPr>
        <w:t xml:space="preserve"> </w:t>
      </w:r>
      <w:r w:rsidR="002557FF" w:rsidRPr="005664BA">
        <w:rPr>
          <w:lang w:val="en-GB"/>
        </w:rPr>
        <w:t xml:space="preserve">is </w:t>
      </w:r>
      <w:r w:rsidRPr="005664BA">
        <w:rPr>
          <w:lang w:val="en-GB"/>
        </w:rPr>
        <w:t xml:space="preserve">the best result operationally speaking as well, since it is a temperature close to the ABE fermentation temperature and that would allow obtaining an </w:t>
      </w:r>
      <w:r w:rsidR="006A0478">
        <w:rPr>
          <w:lang w:val="en-GB"/>
        </w:rPr>
        <w:t>IL</w:t>
      </w:r>
      <w:r w:rsidRPr="005664BA">
        <w:rPr>
          <w:lang w:val="en-GB"/>
        </w:rPr>
        <w:t xml:space="preserve"> current with a smaller amount of water, where</w:t>
      </w:r>
      <w:r w:rsidR="002557FF" w:rsidRPr="005664BA">
        <w:rPr>
          <w:lang w:val="en-GB"/>
        </w:rPr>
        <w:t xml:space="preserve"> a</w:t>
      </w:r>
      <w:r w:rsidRPr="005664BA">
        <w:rPr>
          <w:lang w:val="en-GB"/>
        </w:rPr>
        <w:t xml:space="preserve"> later distill</w:t>
      </w:r>
      <w:r w:rsidR="002557FF" w:rsidRPr="005664BA">
        <w:rPr>
          <w:lang w:val="en-GB"/>
        </w:rPr>
        <w:t xml:space="preserve">ation step of </w:t>
      </w:r>
      <w:r w:rsidRPr="005664BA">
        <w:rPr>
          <w:lang w:val="en-GB"/>
        </w:rPr>
        <w:t xml:space="preserve">butanol would be much more </w:t>
      </w:r>
      <w:r w:rsidR="0066628A" w:rsidRPr="005664BA">
        <w:rPr>
          <w:lang w:val="en-GB"/>
        </w:rPr>
        <w:t>efficient.</w:t>
      </w:r>
    </w:p>
    <w:p w14:paraId="29F7C2CF" w14:textId="433C1B8D" w:rsidR="000A7319" w:rsidRPr="005664BA" w:rsidRDefault="000A7319" w:rsidP="000A7319">
      <w:pPr>
        <w:pStyle w:val="CETHeading1"/>
        <w:rPr>
          <w:lang w:val="en-GB"/>
        </w:rPr>
      </w:pPr>
      <w:r w:rsidRPr="005664BA">
        <w:rPr>
          <w:lang w:val="en-GB"/>
        </w:rPr>
        <w:t xml:space="preserve">Conclusions </w:t>
      </w:r>
    </w:p>
    <w:p w14:paraId="73F9CF4E" w14:textId="77C8478A" w:rsidR="000A7319" w:rsidRPr="005664BA" w:rsidRDefault="00F7734B" w:rsidP="000A7319">
      <w:pPr>
        <w:pStyle w:val="CETBodytext"/>
        <w:rPr>
          <w:lang w:val="en-GB"/>
        </w:rPr>
      </w:pPr>
      <w:r w:rsidRPr="005664BA">
        <w:rPr>
          <w:lang w:val="en-GB"/>
        </w:rPr>
        <w:t>In this work the separation of ABE fermentation products was achieved by means of perstraction</w:t>
      </w:r>
      <w:r w:rsidR="002557FF" w:rsidRPr="005664BA">
        <w:rPr>
          <w:lang w:val="en-GB"/>
        </w:rPr>
        <w:t xml:space="preserve"> using</w:t>
      </w:r>
      <w:r w:rsidRPr="005664BA">
        <w:rPr>
          <w:lang w:val="en-GB"/>
        </w:rPr>
        <w:t xml:space="preserve"> [</w:t>
      </w:r>
      <w:r w:rsidR="006E26DE" w:rsidRPr="005664BA">
        <w:rPr>
          <w:lang w:val="en-GB"/>
        </w:rPr>
        <w:t>P</w:t>
      </w:r>
      <w:r w:rsidR="006E26DE" w:rsidRPr="005664BA">
        <w:rPr>
          <w:vertAlign w:val="subscript"/>
          <w:lang w:val="en-GB"/>
        </w:rPr>
        <w:t>6,6,6,14</w:t>
      </w:r>
      <w:r w:rsidRPr="005664BA">
        <w:rPr>
          <w:lang w:val="en-GB"/>
        </w:rPr>
        <w:t>][Tf</w:t>
      </w:r>
      <w:r w:rsidRPr="00DA0CB3">
        <w:rPr>
          <w:vertAlign w:val="subscript"/>
          <w:lang w:val="en-GB"/>
        </w:rPr>
        <w:t>2</w:t>
      </w:r>
      <w:r w:rsidRPr="005664BA">
        <w:rPr>
          <w:lang w:val="en-GB"/>
        </w:rPr>
        <w:t>N</w:t>
      </w:r>
      <w:r w:rsidR="002557FF" w:rsidRPr="005664BA">
        <w:rPr>
          <w:lang w:val="en-GB"/>
        </w:rPr>
        <w:t>],</w:t>
      </w:r>
      <w:r w:rsidRPr="005664BA">
        <w:rPr>
          <w:lang w:val="en-GB"/>
        </w:rPr>
        <w:t xml:space="preserve"> a commercial hydrophobic ionic liquid as extractants. This process showed good permeability and selectivity to recover butanol from ABE solutions. From the perstraction </w:t>
      </w:r>
      <w:r w:rsidR="00503974" w:rsidRPr="005664BA">
        <w:rPr>
          <w:lang w:val="en-GB"/>
        </w:rPr>
        <w:t>assays, seemed</w:t>
      </w:r>
      <w:r w:rsidRPr="005664BA">
        <w:rPr>
          <w:lang w:val="en-GB"/>
        </w:rPr>
        <w:t xml:space="preserve"> to be the best ionic liquid</w:t>
      </w:r>
      <w:r w:rsidR="002557FF" w:rsidRPr="005664BA">
        <w:rPr>
          <w:lang w:val="en-GB"/>
        </w:rPr>
        <w:t>. A</w:t>
      </w:r>
      <w:r w:rsidRPr="005664BA">
        <w:rPr>
          <w:lang w:val="en-GB"/>
        </w:rPr>
        <w:t xml:space="preserve"> feed phase temperature of 30</w:t>
      </w:r>
      <w:r w:rsidR="008E4589">
        <w:rPr>
          <w:lang w:val="en-GB"/>
        </w:rPr>
        <w:t xml:space="preserve"> </w:t>
      </w:r>
      <w:r w:rsidRPr="005664BA">
        <w:rPr>
          <w:lang w:val="en-GB"/>
        </w:rPr>
        <w:t xml:space="preserve">°C </w:t>
      </w:r>
      <w:r w:rsidR="002557FF" w:rsidRPr="005664BA">
        <w:rPr>
          <w:lang w:val="en-GB"/>
        </w:rPr>
        <w:t xml:space="preserve">for both the feed solution and </w:t>
      </w:r>
      <w:r w:rsidR="00371C46" w:rsidRPr="005664BA">
        <w:rPr>
          <w:lang w:val="en-GB"/>
        </w:rPr>
        <w:t>extractant</w:t>
      </w:r>
      <w:r w:rsidR="002557FF" w:rsidRPr="005664BA">
        <w:rPr>
          <w:lang w:val="en-GB"/>
        </w:rPr>
        <w:t xml:space="preserve"> phase</w:t>
      </w:r>
      <w:r w:rsidR="00371C46" w:rsidRPr="005664BA">
        <w:rPr>
          <w:lang w:val="en-GB"/>
        </w:rPr>
        <w:t xml:space="preserve"> was the best operational </w:t>
      </w:r>
      <w:r w:rsidR="00ED76D0" w:rsidRPr="005664BA">
        <w:rPr>
          <w:lang w:val="en-GB"/>
        </w:rPr>
        <w:t>temperature, since</w:t>
      </w:r>
      <w:r w:rsidRPr="005664BA">
        <w:rPr>
          <w:lang w:val="en-GB"/>
        </w:rPr>
        <w:t xml:space="preserve"> it shows the highest butanol/ water s</w:t>
      </w:r>
      <w:r w:rsidR="00371C46" w:rsidRPr="005664BA">
        <w:rPr>
          <w:lang w:val="en-GB"/>
        </w:rPr>
        <w:t>electivity</w:t>
      </w:r>
      <w:r w:rsidRPr="005664BA">
        <w:rPr>
          <w:lang w:val="en-GB"/>
        </w:rPr>
        <w:t xml:space="preserve"> with values equal to 58.3.</w:t>
      </w:r>
    </w:p>
    <w:p w14:paraId="56ED032A" w14:textId="392BFF1E" w:rsidR="00F7734B" w:rsidRPr="005664BA" w:rsidRDefault="00F7734B" w:rsidP="000A7319">
      <w:pPr>
        <w:pStyle w:val="CETBodytext"/>
        <w:rPr>
          <w:lang w:val="en-GB"/>
        </w:rPr>
      </w:pPr>
      <w:r w:rsidRPr="005664BA">
        <w:rPr>
          <w:lang w:val="en-GB"/>
        </w:rPr>
        <w:t xml:space="preserve">The results obtained in this study related to the mass transfer rates of specific compounds are promising, since the synthesis of task-specific ionic </w:t>
      </w:r>
      <w:r w:rsidR="006C0F49" w:rsidRPr="005664BA">
        <w:rPr>
          <w:lang w:val="en-GB"/>
        </w:rPr>
        <w:t>liquids and</w:t>
      </w:r>
      <w:r w:rsidRPr="005664BA">
        <w:rPr>
          <w:lang w:val="en-GB"/>
        </w:rPr>
        <w:t xml:space="preserve"> temperatures could allow to design a perstraction process to selectively obtain a great variety of molecules with high commercial value from fermentation or reaction products</w:t>
      </w:r>
      <w:r w:rsidR="00371C46" w:rsidRPr="005664BA">
        <w:rPr>
          <w:lang w:val="en-GB"/>
        </w:rPr>
        <w:t>.</w:t>
      </w:r>
    </w:p>
    <w:p w14:paraId="30E6D4E3" w14:textId="135945AC" w:rsidR="00363A5A" w:rsidRPr="00DA0CB3" w:rsidRDefault="00F7734B" w:rsidP="000F08BB">
      <w:pPr>
        <w:pStyle w:val="CETHeadingxx"/>
        <w:rPr>
          <w:lang w:val="fr-FR"/>
        </w:rPr>
      </w:pPr>
      <w:r w:rsidRPr="00DA0CB3">
        <w:rPr>
          <w:lang w:val="fr-FR"/>
        </w:rPr>
        <w:t xml:space="preserve">Nomenclature </w:t>
      </w:r>
      <w:r w:rsidR="000A7319" w:rsidRPr="00DA0CB3">
        <w:rPr>
          <w:lang w:val="fr-FR"/>
        </w:rPr>
        <w:t xml:space="preserve"> </w:t>
      </w:r>
    </w:p>
    <w:p w14:paraId="25969568" w14:textId="77777777" w:rsidR="00503974" w:rsidRPr="00DA0CB3" w:rsidRDefault="00503974" w:rsidP="00A2651D">
      <w:pPr>
        <w:pStyle w:val="CETBodytext"/>
        <w:jc w:val="left"/>
        <w:rPr>
          <w:lang w:val="fr-FR"/>
        </w:rPr>
        <w:sectPr w:rsidR="00503974" w:rsidRPr="00DA0CB3" w:rsidSect="00EF06D9">
          <w:type w:val="continuous"/>
          <w:pgSz w:w="11906" w:h="16838" w:code="9"/>
          <w:pgMar w:top="1701" w:right="1418" w:bottom="1701" w:left="1701" w:header="1701" w:footer="0" w:gutter="0"/>
          <w:cols w:space="708"/>
          <w:formProt w:val="0"/>
          <w:titlePg/>
          <w:docGrid w:linePitch="360"/>
        </w:sectPr>
      </w:pPr>
    </w:p>
    <w:p w14:paraId="56CBB6FC" w14:textId="2AB419F3" w:rsidR="00A2651D" w:rsidRPr="00DA0CB3" w:rsidRDefault="00F129FF" w:rsidP="00A2651D">
      <w:pPr>
        <w:pStyle w:val="CETBodytext"/>
        <w:jc w:val="left"/>
        <w:rPr>
          <w:rFonts w:eastAsia="SimSun"/>
          <w:lang w:val="fr-FR"/>
        </w:rPr>
      </w:pPr>
      <m:oMath>
        <m:r>
          <w:rPr>
            <w:rFonts w:ascii="Cambria Math" w:hAnsi="Cambria Math"/>
            <w:lang w:val="en-GB"/>
          </w:rPr>
          <m:t>E</m:t>
        </m:r>
        <m:r>
          <w:rPr>
            <w:rFonts w:ascii="Cambria Math" w:hAnsi="Cambria Math"/>
            <w:lang w:val="fr-FR"/>
          </w:rPr>
          <m:t>%</m:t>
        </m:r>
      </m:oMath>
      <w:r w:rsidRPr="00DA0CB3">
        <w:rPr>
          <w:rFonts w:eastAsia="SimSun" w:cs="Arial"/>
          <w:color w:val="000000"/>
          <w:szCs w:val="18"/>
          <w:lang w:val="fr-FR" w:eastAsia="es-CL"/>
        </w:rPr>
        <w:t xml:space="preserve"> </w:t>
      </w:r>
      <w:r w:rsidR="00A2651D" w:rsidRPr="00DA0CB3">
        <w:rPr>
          <w:rFonts w:eastAsia="SimSun"/>
          <w:lang w:val="fr-FR"/>
        </w:rPr>
        <w:t xml:space="preserve">– </w:t>
      </w:r>
      <w:r w:rsidR="00121F56" w:rsidRPr="00DA0CB3">
        <w:rPr>
          <w:rFonts w:eastAsia="SimSun"/>
          <w:lang w:val="fr-FR"/>
        </w:rPr>
        <w:t xml:space="preserve">extraction percentage, </w:t>
      </w:r>
      <w:r w:rsidRPr="00DA0CB3">
        <w:rPr>
          <w:rFonts w:eastAsia="SimSun"/>
          <w:lang w:val="fr-FR"/>
        </w:rPr>
        <w:t>-</w:t>
      </w:r>
    </w:p>
    <w:p w14:paraId="56BA8403" w14:textId="1968C0CA" w:rsidR="00A2651D" w:rsidRPr="00DA0CB3" w:rsidRDefault="00000000" w:rsidP="00A2651D">
      <w:pPr>
        <w:pStyle w:val="CETBodytext"/>
        <w:jc w:val="left"/>
        <w:rPr>
          <w:lang w:val="fr-FR"/>
        </w:rPr>
      </w:pP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sub>
        </m:sSub>
      </m:oMath>
      <w:r w:rsidR="00747189" w:rsidRPr="00DA0CB3">
        <w:rPr>
          <w:rFonts w:eastAsia="SimSun"/>
          <w:lang w:val="fr-FR"/>
        </w:rPr>
        <w:t xml:space="preserve"> </w:t>
      </w:r>
      <w:r w:rsidR="00A2651D" w:rsidRPr="00DA0CB3">
        <w:rPr>
          <w:rFonts w:eastAsia="SimSun"/>
          <w:lang w:val="fr-FR"/>
        </w:rPr>
        <w:t xml:space="preserve">– </w:t>
      </w:r>
      <w:r w:rsidR="00121F56" w:rsidRPr="00DA0CB3">
        <w:rPr>
          <w:rFonts w:eastAsia="SimSun"/>
          <w:lang w:val="fr-FR"/>
        </w:rPr>
        <w:t>transmembrane flux</w:t>
      </w:r>
      <w:r w:rsidR="00A2651D" w:rsidRPr="00DA0CB3">
        <w:rPr>
          <w:rFonts w:eastAsia="SimSun"/>
          <w:lang w:val="fr-FR"/>
        </w:rPr>
        <w:t>,</w:t>
      </w:r>
      <w:r w:rsidR="00121F56" w:rsidRPr="00DA0CB3">
        <w:rPr>
          <w:rFonts w:eastAsia="SimSun"/>
          <w:lang w:val="fr-FR"/>
        </w:rPr>
        <w:t xml:space="preserve"> </w:t>
      </w:r>
      <m:oMath>
        <m:f>
          <m:fPr>
            <m:ctrlPr>
              <w:rPr>
                <w:rFonts w:ascii="Cambria Math" w:hAnsi="Cambria Math"/>
                <w:i/>
                <w:lang w:val="en-GB"/>
              </w:rPr>
            </m:ctrlPr>
          </m:fPr>
          <m:num>
            <m:r>
              <w:rPr>
                <w:rFonts w:ascii="Cambria Math" w:hAnsi="Cambria Math"/>
                <w:lang w:val="en-GB"/>
              </w:rPr>
              <m:t>kg</m:t>
            </m:r>
          </m:num>
          <m:den>
            <m:sSup>
              <m:sSupPr>
                <m:ctrlPr>
                  <w:rPr>
                    <w:rFonts w:ascii="Cambria Math" w:hAnsi="Cambria Math"/>
                    <w:i/>
                    <w:lang w:val="en-GB"/>
                  </w:rPr>
                </m:ctrlPr>
              </m:sSupPr>
              <m:e>
                <m:r>
                  <w:rPr>
                    <w:rFonts w:ascii="Cambria Math" w:hAnsi="Cambria Math"/>
                    <w:lang w:val="en-GB"/>
                  </w:rPr>
                  <m:t>m</m:t>
                </m:r>
              </m:e>
              <m:sup>
                <m:r>
                  <w:rPr>
                    <w:rFonts w:ascii="Cambria Math" w:hAnsi="Cambria Math"/>
                    <w:lang w:val="fr-FR"/>
                  </w:rPr>
                  <m:t>2</m:t>
                </m:r>
              </m:sup>
            </m:sSup>
            <m:r>
              <w:rPr>
                <w:rFonts w:ascii="Cambria Math" w:hAnsi="Cambria Math"/>
                <w:lang w:val="fr-FR"/>
              </w:rPr>
              <m:t>h</m:t>
            </m:r>
          </m:den>
        </m:f>
      </m:oMath>
    </w:p>
    <w:p w14:paraId="4460367E" w14:textId="63706367" w:rsidR="00121F56" w:rsidRPr="005664BA" w:rsidRDefault="00000000" w:rsidP="00A2651D">
      <w:pPr>
        <w:pStyle w:val="CETBodytext"/>
        <w:jc w:val="left"/>
        <w:rPr>
          <w:rFonts w:eastAsia="SimSun"/>
          <w:lang w:val="en-GB"/>
        </w:rPr>
      </w:pP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i/w</m:t>
            </m:r>
          </m:sub>
        </m:sSub>
      </m:oMath>
      <w:r w:rsidR="00747189" w:rsidRPr="005664BA">
        <w:rPr>
          <w:rFonts w:cs="Arial"/>
          <w:lang w:val="en-GB"/>
        </w:rPr>
        <w:t xml:space="preserve"> </w:t>
      </w:r>
      <w:r w:rsidR="00121F56" w:rsidRPr="005664BA">
        <w:rPr>
          <w:rFonts w:eastAsia="SimSun"/>
          <w:lang w:val="en-GB"/>
        </w:rPr>
        <w:t xml:space="preserve">– selectivity, </w:t>
      </w:r>
      <w:r w:rsidR="00F129FF" w:rsidRPr="005664BA">
        <w:rPr>
          <w:rFonts w:eastAsia="SimSun"/>
          <w:lang w:val="en-GB"/>
        </w:rPr>
        <w:t>-</w:t>
      </w:r>
    </w:p>
    <w:p w14:paraId="4709CF43" w14:textId="05395392" w:rsidR="00747189" w:rsidRPr="005664BA" w:rsidRDefault="00000000" w:rsidP="00A2651D">
      <w:pPr>
        <w:pStyle w:val="CETBodytext"/>
        <w:jc w:val="left"/>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i,t=0</m:t>
            </m:r>
          </m:sub>
        </m:sSub>
      </m:oMath>
      <w:r w:rsidR="00747189" w:rsidRPr="005664BA">
        <w:rPr>
          <w:rFonts w:eastAsia="SimSun"/>
          <w:lang w:val="en-GB"/>
        </w:rPr>
        <w:t>–</w:t>
      </w:r>
      <w:r w:rsidR="00747189" w:rsidRPr="005664BA">
        <w:rPr>
          <w:lang w:val="en-GB"/>
        </w:rPr>
        <w:t xml:space="preserve"> </w:t>
      </w:r>
      <w:r w:rsidR="00121F56" w:rsidRPr="005664BA">
        <w:rPr>
          <w:lang w:val="en-GB"/>
        </w:rPr>
        <w:t xml:space="preserve">initial concentration </w:t>
      </w:r>
      <w:r w:rsidR="00747189" w:rsidRPr="005664BA">
        <w:rPr>
          <w:lang w:val="en-GB"/>
        </w:rPr>
        <w:t>of the specie i in the aqueous phase</w:t>
      </w:r>
      <w:r w:rsidR="00B95A71" w:rsidRPr="005664BA">
        <w:rPr>
          <w:lang w:val="en-GB"/>
        </w:rPr>
        <w:t>,</w:t>
      </w:r>
      <w:r w:rsidR="00F129FF" w:rsidRPr="005664BA">
        <w:rPr>
          <w:lang w:val="en-GB"/>
        </w:rPr>
        <w:t xml:space="preserve"> </w:t>
      </w:r>
      <m:oMath>
        <m:f>
          <m:fPr>
            <m:ctrlPr>
              <w:rPr>
                <w:rFonts w:ascii="Cambria Math" w:hAnsi="Cambria Math"/>
                <w:i/>
                <w:lang w:val="en-GB"/>
              </w:rPr>
            </m:ctrlPr>
          </m:fPr>
          <m:num>
            <m:r>
              <w:rPr>
                <w:rFonts w:ascii="Cambria Math" w:hAnsi="Cambria Math"/>
                <w:lang w:val="en-GB"/>
              </w:rPr>
              <m:t>kg</m:t>
            </m:r>
          </m:num>
          <m:den>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den>
        </m:f>
      </m:oMath>
      <w:r w:rsidR="00121F56" w:rsidRPr="005664BA">
        <w:rPr>
          <w:lang w:val="en-GB"/>
        </w:rPr>
        <w:t xml:space="preserve"> </w:t>
      </w:r>
    </w:p>
    <w:p w14:paraId="3A4C4D4F" w14:textId="16FD7A32" w:rsidR="00747189" w:rsidRPr="005664BA" w:rsidRDefault="00000000" w:rsidP="00A2651D">
      <w:pPr>
        <w:pStyle w:val="CETBodytext"/>
        <w:jc w:val="left"/>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i,t</m:t>
            </m:r>
          </m:sub>
        </m:sSub>
      </m:oMath>
      <w:r w:rsidR="00747189" w:rsidRPr="005664BA">
        <w:rPr>
          <w:lang w:val="en-GB"/>
        </w:rPr>
        <w:t xml:space="preserve"> </w:t>
      </w:r>
      <w:r w:rsidR="00B95A71" w:rsidRPr="005664BA">
        <w:rPr>
          <w:rFonts w:eastAsia="SimSun"/>
          <w:lang w:val="en-GB"/>
        </w:rPr>
        <w:t>–</w:t>
      </w:r>
      <w:r w:rsidR="00B95A71" w:rsidRPr="005664BA">
        <w:rPr>
          <w:lang w:val="en-GB"/>
        </w:rPr>
        <w:t xml:space="preserve">  </w:t>
      </w:r>
      <w:r w:rsidR="00747189" w:rsidRPr="005664BA">
        <w:rPr>
          <w:lang w:val="en-GB"/>
        </w:rPr>
        <w:t>concentration of the specie i in the aqueous phase</w:t>
      </w:r>
      <w:r w:rsidR="00121F56" w:rsidRPr="005664BA">
        <w:rPr>
          <w:lang w:val="en-GB"/>
        </w:rPr>
        <w:t xml:space="preserve"> </w:t>
      </w:r>
      <w:r w:rsidR="00747189" w:rsidRPr="005664BA">
        <w:rPr>
          <w:lang w:val="en-GB"/>
        </w:rPr>
        <w:t>at time t</w:t>
      </w:r>
      <w:r w:rsidR="00F129FF" w:rsidRPr="005664BA">
        <w:rPr>
          <w:rFonts w:ascii="Cambria Math" w:hAnsi="Cambria Math"/>
          <w:i/>
          <w:lang w:val="en-GB"/>
        </w:rPr>
        <w:t xml:space="preserve">, </w:t>
      </w:r>
      <m:oMath>
        <m:f>
          <m:fPr>
            <m:ctrlPr>
              <w:rPr>
                <w:rFonts w:ascii="Cambria Math" w:hAnsi="Cambria Math"/>
                <w:i/>
                <w:lang w:val="en-GB"/>
              </w:rPr>
            </m:ctrlPr>
          </m:fPr>
          <m:num>
            <m:r>
              <w:rPr>
                <w:rFonts w:ascii="Cambria Math" w:hAnsi="Cambria Math"/>
                <w:lang w:val="en-GB"/>
              </w:rPr>
              <m:t>kg</m:t>
            </m:r>
          </m:num>
          <m:den>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den>
        </m:f>
      </m:oMath>
    </w:p>
    <w:p w14:paraId="15F6748F" w14:textId="199A28E0" w:rsidR="00121F56" w:rsidRPr="005664BA" w:rsidRDefault="00000000" w:rsidP="00A2651D">
      <w:pPr>
        <w:pStyle w:val="CETBodytext"/>
        <w:jc w:val="left"/>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it+∆t</m:t>
            </m:r>
          </m:sub>
        </m:sSub>
      </m:oMath>
      <w:r w:rsidR="00B95A71" w:rsidRPr="005664BA">
        <w:rPr>
          <w:rFonts w:eastAsia="SimSun"/>
          <w:lang w:val="en-GB"/>
        </w:rPr>
        <w:t>–</w:t>
      </w:r>
      <w:r w:rsidR="00121F56" w:rsidRPr="005664BA">
        <w:rPr>
          <w:lang w:val="en-GB"/>
        </w:rPr>
        <w:t xml:space="preserve"> </w:t>
      </w:r>
      <w:r w:rsidR="00747189" w:rsidRPr="005664BA">
        <w:rPr>
          <w:lang w:val="en-GB"/>
        </w:rPr>
        <w:t xml:space="preserve">concentration of the specie i in the aqueous phase at time </w:t>
      </w:r>
      <w:r w:rsidR="00121F56" w:rsidRPr="005664BA">
        <w:rPr>
          <w:lang w:val="en-GB"/>
        </w:rPr>
        <w:t>t+Δt</w:t>
      </w:r>
      <w:r w:rsidR="00B95A71" w:rsidRPr="005664BA">
        <w:rPr>
          <w:lang w:val="en-GB"/>
        </w:rPr>
        <w:t xml:space="preserve">, , </w:t>
      </w:r>
      <m:oMath>
        <m:f>
          <m:fPr>
            <m:ctrlPr>
              <w:rPr>
                <w:rFonts w:ascii="Cambria Math" w:hAnsi="Cambria Math"/>
                <w:i/>
                <w:lang w:val="en-GB"/>
              </w:rPr>
            </m:ctrlPr>
          </m:fPr>
          <m:num>
            <m:r>
              <w:rPr>
                <w:rFonts w:ascii="Cambria Math" w:hAnsi="Cambria Math"/>
                <w:lang w:val="en-GB"/>
              </w:rPr>
              <m:t>kg</m:t>
            </m:r>
          </m:num>
          <m:den>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den>
        </m:f>
      </m:oMath>
    </w:p>
    <w:p w14:paraId="4FCC665B" w14:textId="22E5CA6A" w:rsidR="00747189" w:rsidRPr="005664BA" w:rsidRDefault="00F129FF" w:rsidP="00A2651D">
      <w:pPr>
        <w:pStyle w:val="CETBodytext"/>
        <w:jc w:val="left"/>
        <w:rPr>
          <w:lang w:val="en-GB"/>
        </w:rPr>
      </w:pPr>
      <m:oMath>
        <m:r>
          <w:rPr>
            <w:rFonts w:ascii="Cambria Math" w:hAnsi="Cambria Math"/>
            <w:lang w:val="en-GB"/>
          </w:rPr>
          <m:t>V</m:t>
        </m:r>
      </m:oMath>
      <w:r w:rsidRPr="005664BA" w:rsidDel="00F129FF">
        <w:rPr>
          <w:lang w:val="en-GB"/>
        </w:rPr>
        <w:t xml:space="preserve"> </w:t>
      </w:r>
      <w:r w:rsidR="00B95A71" w:rsidRPr="005664BA">
        <w:rPr>
          <w:lang w:val="en-GB"/>
        </w:rPr>
        <w:t xml:space="preserve"> </w:t>
      </w:r>
      <w:r w:rsidR="00B95A71" w:rsidRPr="005664BA">
        <w:rPr>
          <w:rFonts w:eastAsia="SimSun"/>
          <w:lang w:val="en-GB"/>
        </w:rPr>
        <w:t>–</w:t>
      </w:r>
      <w:r w:rsidR="00B95A71" w:rsidRPr="005664BA">
        <w:rPr>
          <w:lang w:val="en-GB"/>
        </w:rPr>
        <w:t xml:space="preserve"> the</w:t>
      </w:r>
      <w:r w:rsidR="00747189" w:rsidRPr="005664BA">
        <w:rPr>
          <w:lang w:val="en-GB"/>
        </w:rPr>
        <w:t xml:space="preserve"> volume of the feed solution</w:t>
      </w:r>
      <w:r w:rsidR="00852834" w:rsidRPr="005664BA">
        <w:rPr>
          <w:lang w:val="en-GB"/>
        </w:rPr>
        <w:t>,</w:t>
      </w:r>
      <w:r w:rsidR="00747189" w:rsidRPr="005664BA">
        <w:rPr>
          <w:lang w:val="en-GB"/>
        </w:rPr>
        <w:t xml:space="preserve"> </w:t>
      </w:r>
      <m:oMath>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oMath>
      <w:r w:rsidR="00747189" w:rsidRPr="005664BA">
        <w:rPr>
          <w:lang w:val="en-GB"/>
        </w:rPr>
        <w:t xml:space="preserve"> </w:t>
      </w:r>
    </w:p>
    <w:p w14:paraId="0D503BD8" w14:textId="60813E91" w:rsidR="00747189" w:rsidRPr="005664BA" w:rsidRDefault="00F129FF" w:rsidP="00A2651D">
      <w:pPr>
        <w:pStyle w:val="CETBodytext"/>
        <w:jc w:val="left"/>
        <w:rPr>
          <w:lang w:val="en-GB"/>
        </w:rPr>
      </w:pPr>
      <m:oMath>
        <m:r>
          <w:rPr>
            <w:rFonts w:ascii="Cambria Math" w:hAnsi="Cambria Math"/>
            <w:lang w:val="en-GB"/>
          </w:rPr>
          <m:t>A</m:t>
        </m:r>
      </m:oMath>
      <w:r w:rsidRPr="005664BA" w:rsidDel="00F129FF">
        <w:rPr>
          <w:lang w:val="en-GB"/>
        </w:rPr>
        <w:t xml:space="preserve"> </w:t>
      </w:r>
      <w:r w:rsidR="00B95A71" w:rsidRPr="005664BA">
        <w:rPr>
          <w:lang w:val="en-GB"/>
        </w:rPr>
        <w:t xml:space="preserve"> </w:t>
      </w:r>
      <w:r w:rsidR="00B95A71" w:rsidRPr="005664BA">
        <w:rPr>
          <w:rFonts w:eastAsia="SimSun"/>
          <w:lang w:val="en-GB"/>
        </w:rPr>
        <w:t>–</w:t>
      </w:r>
      <w:r w:rsidR="00747189" w:rsidRPr="005664BA">
        <w:rPr>
          <w:lang w:val="en-GB"/>
        </w:rPr>
        <w:t xml:space="preserve"> surface area available for mass transfer</w:t>
      </w:r>
      <w:r w:rsidR="00B95A71" w:rsidRPr="005664BA">
        <w:rPr>
          <w:lang w:val="en-GB"/>
        </w:rPr>
        <w:t xml:space="preserve">, </w:t>
      </w:r>
      <m:oMath>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2</m:t>
            </m:r>
          </m:sup>
        </m:sSup>
      </m:oMath>
    </w:p>
    <w:p w14:paraId="01F83B28" w14:textId="34147565" w:rsidR="00747189" w:rsidRPr="005664BA" w:rsidRDefault="00000000" w:rsidP="00A2651D">
      <w:pPr>
        <w:pStyle w:val="CETBodytext"/>
        <w:jc w:val="left"/>
        <w:rPr>
          <w:lang w:val="en-GB"/>
        </w:rPr>
      </w:p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IL</m:t>
            </m:r>
          </m:sup>
        </m:sSubSup>
      </m:oMath>
      <w:r w:rsidR="00F129FF" w:rsidRPr="005664BA" w:rsidDel="00F129FF">
        <w:rPr>
          <w:lang w:val="en-GB"/>
        </w:rPr>
        <w:t xml:space="preserve"> </w:t>
      </w:r>
      <w:r w:rsidR="00B95A71" w:rsidRPr="005664BA">
        <w:rPr>
          <w:lang w:val="en-GB"/>
        </w:rPr>
        <w:t xml:space="preserve"> </w:t>
      </w:r>
      <w:r w:rsidR="00B95A71" w:rsidRPr="005664BA">
        <w:rPr>
          <w:rFonts w:eastAsia="SimSun"/>
          <w:lang w:val="en-GB"/>
        </w:rPr>
        <w:t>–</w:t>
      </w:r>
      <w:r w:rsidR="00747189" w:rsidRPr="005664BA">
        <w:rPr>
          <w:lang w:val="en-GB"/>
        </w:rPr>
        <w:t xml:space="preserve"> concentration of the specie i in the collected permeate (p</w:t>
      </w:r>
      <w:r w:rsidR="00B95A71" w:rsidRPr="005664BA">
        <w:rPr>
          <w:lang w:val="en-GB"/>
        </w:rPr>
        <w:t xml:space="preserve">), </w:t>
      </w:r>
      <m:oMath>
        <m:f>
          <m:fPr>
            <m:ctrlPr>
              <w:rPr>
                <w:rFonts w:ascii="Cambria Math" w:hAnsi="Cambria Math"/>
                <w:i/>
                <w:lang w:val="en-GB"/>
              </w:rPr>
            </m:ctrlPr>
          </m:fPr>
          <m:num>
            <m:r>
              <w:rPr>
                <w:rFonts w:ascii="Cambria Math" w:hAnsi="Cambria Math"/>
                <w:lang w:val="en-GB"/>
              </w:rPr>
              <m:t>kg</m:t>
            </m:r>
          </m:num>
          <m:den>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den>
        </m:f>
      </m:oMath>
    </w:p>
    <w:p w14:paraId="6002138B" w14:textId="41E8F1AC" w:rsidR="00B95A71" w:rsidRPr="005664BA" w:rsidRDefault="00000000" w:rsidP="00B95A71">
      <w:pPr>
        <w:pStyle w:val="CETBodytext"/>
        <w:jc w:val="left"/>
        <w:rPr>
          <w:lang w:val="en-GB"/>
        </w:rPr>
      </w:p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i</m:t>
            </m:r>
          </m:sub>
          <m:sup>
            <m:r>
              <w:rPr>
                <w:rFonts w:ascii="Cambria Math" w:hAnsi="Cambria Math"/>
                <w:lang w:val="en-GB"/>
              </w:rPr>
              <m:t>aq</m:t>
            </m:r>
          </m:sup>
        </m:sSubSup>
      </m:oMath>
      <w:r w:rsidR="00B95A71" w:rsidRPr="005664BA">
        <w:rPr>
          <w:lang w:val="en-GB"/>
        </w:rPr>
        <w:t xml:space="preserve"> </w:t>
      </w:r>
      <w:r w:rsidR="00B95A71" w:rsidRPr="005664BA">
        <w:rPr>
          <w:rFonts w:eastAsia="SimSun"/>
          <w:lang w:val="en-GB"/>
        </w:rPr>
        <w:t>–</w:t>
      </w:r>
      <w:r w:rsidR="00B95A71" w:rsidRPr="005664BA">
        <w:rPr>
          <w:lang w:val="en-GB"/>
        </w:rPr>
        <w:t xml:space="preserve"> concentration of the specie i in the feed solution (fs), </w:t>
      </w:r>
      <m:oMath>
        <m:f>
          <m:fPr>
            <m:ctrlPr>
              <w:rPr>
                <w:rFonts w:ascii="Cambria Math" w:hAnsi="Cambria Math"/>
                <w:i/>
                <w:lang w:val="en-GB"/>
              </w:rPr>
            </m:ctrlPr>
          </m:fPr>
          <m:num>
            <m:r>
              <w:rPr>
                <w:rFonts w:ascii="Cambria Math" w:hAnsi="Cambria Math"/>
                <w:lang w:val="en-GB"/>
              </w:rPr>
              <m:t>kg</m:t>
            </m:r>
          </m:num>
          <m:den>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den>
        </m:f>
      </m:oMath>
    </w:p>
    <w:p w14:paraId="1CC22137" w14:textId="6F05EA11" w:rsidR="00B95A71" w:rsidRPr="005664BA" w:rsidRDefault="00000000" w:rsidP="00B95A71">
      <w:pPr>
        <w:pStyle w:val="CETBodytext"/>
        <w:jc w:val="left"/>
        <w:rPr>
          <w:lang w:val="en-GB"/>
        </w:rPr>
      </w:p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w</m:t>
            </m:r>
          </m:sub>
          <m:sup>
            <m:r>
              <w:rPr>
                <w:rFonts w:ascii="Cambria Math" w:hAnsi="Cambria Math"/>
                <w:lang w:val="en-GB"/>
              </w:rPr>
              <m:t>IL</m:t>
            </m:r>
          </m:sup>
        </m:sSubSup>
      </m:oMath>
      <w:r w:rsidR="00F129FF" w:rsidRPr="005664BA" w:rsidDel="00F129FF">
        <w:rPr>
          <w:lang w:val="en-GB"/>
        </w:rPr>
        <w:t xml:space="preserve"> </w:t>
      </w:r>
      <w:r w:rsidR="00B95A71" w:rsidRPr="005664BA">
        <w:rPr>
          <w:lang w:val="en-GB"/>
        </w:rPr>
        <w:t xml:space="preserve"> </w:t>
      </w:r>
      <w:r w:rsidR="00B95A71" w:rsidRPr="005664BA">
        <w:rPr>
          <w:rFonts w:eastAsia="SimSun"/>
          <w:lang w:val="en-GB"/>
        </w:rPr>
        <w:t>– c</w:t>
      </w:r>
      <w:r w:rsidR="00B95A71" w:rsidRPr="005664BA">
        <w:rPr>
          <w:lang w:val="en-GB"/>
        </w:rPr>
        <w:t xml:space="preserve">oncentration of water in the collected permeate (p), </w:t>
      </w:r>
      <m:oMath>
        <m:f>
          <m:fPr>
            <m:ctrlPr>
              <w:rPr>
                <w:rFonts w:ascii="Cambria Math" w:hAnsi="Cambria Math"/>
                <w:i/>
                <w:lang w:val="en-GB"/>
              </w:rPr>
            </m:ctrlPr>
          </m:fPr>
          <m:num>
            <m:r>
              <w:rPr>
                <w:rFonts w:ascii="Cambria Math" w:hAnsi="Cambria Math"/>
                <w:lang w:val="en-GB"/>
              </w:rPr>
              <m:t>kg</m:t>
            </m:r>
          </m:num>
          <m:den>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den>
        </m:f>
      </m:oMath>
    </w:p>
    <w:p w14:paraId="5E810C6D" w14:textId="35E9DEE1" w:rsidR="00B95A71" w:rsidRPr="005664BA" w:rsidRDefault="00000000" w:rsidP="00B95A71">
      <w:pPr>
        <w:pStyle w:val="CETBodytext"/>
        <w:jc w:val="left"/>
        <w:rPr>
          <w:lang w:val="en-GB"/>
        </w:rPr>
      </w:pPr>
      <m:oMath>
        <m:sSubSup>
          <m:sSubSupPr>
            <m:ctrlPr>
              <w:rPr>
                <w:rFonts w:ascii="Cambria Math" w:hAnsi="Cambria Math"/>
                <w:i/>
                <w:lang w:val="en-GB"/>
              </w:rPr>
            </m:ctrlPr>
          </m:sSubSupPr>
          <m:e>
            <m:r>
              <w:rPr>
                <w:rFonts w:ascii="Cambria Math" w:hAnsi="Cambria Math"/>
                <w:lang w:val="en-GB"/>
              </w:rPr>
              <m:t>C</m:t>
            </m:r>
          </m:e>
          <m:sub>
            <m:r>
              <w:rPr>
                <w:rFonts w:ascii="Cambria Math" w:hAnsi="Cambria Math"/>
                <w:lang w:val="en-GB"/>
              </w:rPr>
              <m:t>w</m:t>
            </m:r>
          </m:sub>
          <m:sup>
            <m:r>
              <w:rPr>
                <w:rFonts w:ascii="Cambria Math" w:hAnsi="Cambria Math"/>
                <w:lang w:val="en-GB"/>
              </w:rPr>
              <m:t>aq</m:t>
            </m:r>
          </m:sup>
        </m:sSubSup>
      </m:oMath>
      <w:r w:rsidR="00F129FF" w:rsidRPr="005664BA" w:rsidDel="00F129FF">
        <w:rPr>
          <w:lang w:val="en-GB"/>
        </w:rPr>
        <w:t xml:space="preserve"> </w:t>
      </w:r>
      <w:r w:rsidR="00B95A71" w:rsidRPr="005664BA">
        <w:rPr>
          <w:rFonts w:eastAsia="SimSun"/>
          <w:lang w:val="en-GB"/>
        </w:rPr>
        <w:t xml:space="preserve">– </w:t>
      </w:r>
      <w:r w:rsidR="00B95A71" w:rsidRPr="005664BA">
        <w:rPr>
          <w:lang w:val="en-GB"/>
        </w:rPr>
        <w:t xml:space="preserve">concentration of water in the feed solution (fs), </w:t>
      </w:r>
      <m:oMath>
        <m:f>
          <m:fPr>
            <m:ctrlPr>
              <w:rPr>
                <w:rFonts w:ascii="Cambria Math" w:hAnsi="Cambria Math"/>
                <w:i/>
                <w:lang w:val="en-GB"/>
              </w:rPr>
            </m:ctrlPr>
          </m:fPr>
          <m:num>
            <m:r>
              <w:rPr>
                <w:rFonts w:ascii="Cambria Math" w:hAnsi="Cambria Math"/>
                <w:lang w:val="en-GB"/>
              </w:rPr>
              <m:t>kg</m:t>
            </m:r>
          </m:num>
          <m:den>
            <m:sSup>
              <m:sSupPr>
                <m:ctrlPr>
                  <w:rPr>
                    <w:rFonts w:ascii="Cambria Math" w:hAnsi="Cambria Math"/>
                    <w:i/>
                    <w:lang w:val="en-GB"/>
                  </w:rPr>
                </m:ctrlPr>
              </m:sSupPr>
              <m:e>
                <m:r>
                  <w:rPr>
                    <w:rFonts w:ascii="Cambria Math" w:hAnsi="Cambria Math"/>
                    <w:lang w:val="en-GB"/>
                  </w:rPr>
                  <m:t>m</m:t>
                </m:r>
              </m:e>
              <m:sup>
                <m:r>
                  <w:rPr>
                    <w:rFonts w:ascii="Cambria Math" w:hAnsi="Cambria Math"/>
                    <w:lang w:val="en-GB"/>
                  </w:rPr>
                  <m:t>3</m:t>
                </m:r>
              </m:sup>
            </m:sSup>
          </m:den>
        </m:f>
      </m:oMath>
    </w:p>
    <w:p w14:paraId="1CEE7D71" w14:textId="315FEC0F" w:rsidR="007C2FE6" w:rsidRPr="005664BA" w:rsidRDefault="007C2FE6" w:rsidP="00A2651D">
      <w:pPr>
        <w:pStyle w:val="CETBodytext"/>
        <w:jc w:val="left"/>
        <w:rPr>
          <w:lang w:val="en-GB"/>
        </w:rPr>
        <w:sectPr w:rsidR="007C2FE6" w:rsidRPr="005664BA" w:rsidSect="00A82DA5">
          <w:type w:val="continuous"/>
          <w:pgSz w:w="11906" w:h="16838" w:code="9"/>
          <w:pgMar w:top="1701" w:right="1418" w:bottom="1701" w:left="1701" w:header="1701" w:footer="0" w:gutter="0"/>
          <w:cols w:num="2" w:space="708"/>
          <w:formProt w:val="0"/>
          <w:titlePg/>
          <w:docGrid w:linePitch="360"/>
        </w:sectPr>
      </w:pPr>
      <m:oMath>
        <m:r>
          <w:rPr>
            <w:rFonts w:ascii="Cambria Math" w:hAnsi="Cambria Math"/>
            <w:lang w:val="en-GB"/>
          </w:rPr>
          <m:t>i</m:t>
        </m:r>
      </m:oMath>
      <w:r w:rsidRPr="005664BA">
        <w:rPr>
          <w:lang w:val="en-GB"/>
        </w:rPr>
        <w:t xml:space="preserve"> </w:t>
      </w:r>
      <w:r w:rsidRPr="005664BA">
        <w:rPr>
          <w:rFonts w:eastAsia="SimSun"/>
          <w:lang w:val="en-GB"/>
        </w:rPr>
        <w:t>–</w:t>
      </w:r>
      <w:r w:rsidRPr="005664BA">
        <w:rPr>
          <w:lang w:val="en-GB"/>
        </w:rPr>
        <w:t xml:space="preserve">  </w:t>
      </w:r>
      <w:r w:rsidR="00B61358" w:rsidRPr="005664BA">
        <w:rPr>
          <w:lang w:val="en-GB"/>
        </w:rPr>
        <w:t>compound butanol (B), acetone (A) or ethanol (E), -</w:t>
      </w:r>
    </w:p>
    <w:p w14:paraId="1C40F7B2" w14:textId="036B2376" w:rsidR="00F7734B" w:rsidRPr="005664BA" w:rsidRDefault="00F7734B" w:rsidP="00CC0E7A">
      <w:pPr>
        <w:pStyle w:val="CETBodytext"/>
        <w:rPr>
          <w:lang w:val="en-GB"/>
        </w:rPr>
      </w:pPr>
    </w:p>
    <w:p w14:paraId="18850EE2" w14:textId="77777777" w:rsidR="00BD63D2" w:rsidRPr="005664BA" w:rsidRDefault="00BD63D2" w:rsidP="000F08BB">
      <w:pPr>
        <w:pStyle w:val="CETHeadingxx"/>
      </w:pPr>
      <w:r w:rsidRPr="005664BA">
        <w:t>Acknowledgments</w:t>
      </w:r>
    </w:p>
    <w:p w14:paraId="403C1765" w14:textId="63CEEA19" w:rsidR="00F7734B" w:rsidRPr="005664BA" w:rsidRDefault="00BD63D2" w:rsidP="00A2651D">
      <w:pPr>
        <w:pStyle w:val="CETAcknowledgementstitle"/>
        <w:rPr>
          <w:rFonts w:eastAsia="Calibri"/>
          <w:b w:val="0"/>
          <w:bCs/>
        </w:rPr>
      </w:pPr>
      <w:r w:rsidRPr="005664BA">
        <w:rPr>
          <w:rFonts w:eastAsia="Calibri"/>
          <w:b w:val="0"/>
          <w:bCs/>
        </w:rPr>
        <w:t>This work was supported by FONDECYT INICIACIÓN N°11190679</w:t>
      </w:r>
    </w:p>
    <w:p w14:paraId="03CEA04C" w14:textId="4049F96B" w:rsidR="00C52C3C" w:rsidRPr="00DA0CB3" w:rsidRDefault="00A2651D" w:rsidP="00A2651D">
      <w:pPr>
        <w:pStyle w:val="CETReference"/>
        <w:rPr>
          <w:lang w:val="es-CL"/>
        </w:rPr>
      </w:pPr>
      <w:r w:rsidRPr="00DA0CB3">
        <w:rPr>
          <w:lang w:val="es-CL"/>
        </w:rPr>
        <w:t>Reference</w:t>
      </w:r>
    </w:p>
    <w:p w14:paraId="6FAA4342" w14:textId="77777777" w:rsidR="00C52C3C" w:rsidRPr="00DA0CB3" w:rsidRDefault="00C52C3C" w:rsidP="00BD63D2">
      <w:pPr>
        <w:pStyle w:val="CETReferencetext"/>
        <w:rPr>
          <w:lang w:val="es-CL"/>
        </w:rPr>
      </w:pPr>
    </w:p>
    <w:p w14:paraId="5C9BE5A0" w14:textId="008D693C" w:rsidR="00D50762" w:rsidRPr="00D50762" w:rsidRDefault="00BD63D2" w:rsidP="00D50762">
      <w:pPr>
        <w:widowControl w:val="0"/>
        <w:autoSpaceDE w:val="0"/>
        <w:autoSpaceDN w:val="0"/>
        <w:adjustRightInd w:val="0"/>
        <w:spacing w:line="240" w:lineRule="auto"/>
        <w:ind w:left="480" w:hanging="480"/>
        <w:rPr>
          <w:rFonts w:cs="Arial"/>
          <w:noProof/>
          <w:szCs w:val="24"/>
        </w:rPr>
      </w:pPr>
      <w:r w:rsidRPr="005664BA">
        <w:fldChar w:fldCharType="begin" w:fldLock="1"/>
      </w:r>
      <w:r w:rsidRPr="00DA0CB3">
        <w:rPr>
          <w:lang w:val="es-CL"/>
        </w:rPr>
        <w:instrText xml:space="preserve">ADDIN Mendeley Bibliography CSL_BIBLIOGRAPHY </w:instrText>
      </w:r>
      <w:r w:rsidRPr="005664BA">
        <w:fldChar w:fldCharType="separate"/>
      </w:r>
      <w:r w:rsidR="00D50762" w:rsidRPr="00DA0CB3">
        <w:rPr>
          <w:rFonts w:cs="Arial"/>
          <w:noProof/>
          <w:szCs w:val="24"/>
          <w:lang w:val="es-CL"/>
        </w:rPr>
        <w:t xml:space="preserve">Arregoitia-Sarabia, C., González-Revuelta, D., Fallanza, M., Gorri, D., &amp; Ortiz, I. (2020). </w:t>
      </w:r>
      <w:r w:rsidR="00D50762" w:rsidRPr="00D50762">
        <w:rPr>
          <w:rFonts w:cs="Arial"/>
          <w:noProof/>
          <w:szCs w:val="24"/>
        </w:rPr>
        <w:t xml:space="preserve">Polymer inclusion membranes containing ionic liquids for the recovery of n-butanol from ABE solutions by pervaporation. En </w:t>
      </w:r>
      <w:r w:rsidR="00D50762" w:rsidRPr="00D50762">
        <w:rPr>
          <w:rFonts w:cs="Arial"/>
          <w:i/>
          <w:iCs/>
          <w:noProof/>
          <w:szCs w:val="24"/>
        </w:rPr>
        <w:t>Separation and Purification Technology</w:t>
      </w:r>
      <w:r w:rsidR="00D50762" w:rsidRPr="00D50762">
        <w:rPr>
          <w:rFonts w:cs="Arial"/>
          <w:noProof/>
          <w:szCs w:val="24"/>
        </w:rPr>
        <w:t xml:space="preserve"> (Vol. 248, Número February, p. 117101). Elsevier. https://doi.org/10.1016/j.seppur.2020.117101</w:t>
      </w:r>
    </w:p>
    <w:p w14:paraId="63C51752"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DA0CB3">
        <w:rPr>
          <w:rFonts w:cs="Arial"/>
          <w:noProof/>
          <w:szCs w:val="24"/>
          <w:lang w:val="es-CL"/>
        </w:rPr>
        <w:t xml:space="preserve">Cabezas, R., Duran, S., Zurob, E., Plaza, A., Merlet, G., Araya-Lopez, C., Romero, J., &amp; Quijada-Maldonado, E. (2021). </w:t>
      </w:r>
      <w:r w:rsidRPr="00D50762">
        <w:rPr>
          <w:rFonts w:cs="Arial"/>
          <w:noProof/>
          <w:szCs w:val="24"/>
        </w:rPr>
        <w:t xml:space="preserve">Development of silicone-coated hydrophobic deep eutectic solvent-based membranes for pervaporation of biobutanol. </w:t>
      </w:r>
      <w:r w:rsidRPr="00D50762">
        <w:rPr>
          <w:rFonts w:cs="Arial"/>
          <w:i/>
          <w:iCs/>
          <w:noProof/>
          <w:szCs w:val="24"/>
        </w:rPr>
        <w:t>Journal of Membrane Science</w:t>
      </w:r>
      <w:r w:rsidRPr="00D50762">
        <w:rPr>
          <w:rFonts w:cs="Arial"/>
          <w:noProof/>
          <w:szCs w:val="24"/>
        </w:rPr>
        <w:t xml:space="preserve">, </w:t>
      </w:r>
      <w:r w:rsidRPr="00D50762">
        <w:rPr>
          <w:rFonts w:cs="Arial"/>
          <w:i/>
          <w:iCs/>
          <w:noProof/>
          <w:szCs w:val="24"/>
        </w:rPr>
        <w:t>637</w:t>
      </w:r>
      <w:r w:rsidRPr="00D50762">
        <w:rPr>
          <w:rFonts w:cs="Arial"/>
          <w:noProof/>
          <w:szCs w:val="24"/>
        </w:rPr>
        <w:t>, 119617. https://doi.org/10.1016/J.MEMSCI.2021.119617</w:t>
      </w:r>
    </w:p>
    <w:p w14:paraId="1B1C89B8"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D50762">
        <w:rPr>
          <w:rFonts w:cs="Arial"/>
          <w:noProof/>
          <w:szCs w:val="24"/>
        </w:rPr>
        <w:t xml:space="preserve">Cabezas, R., Plaza, A., Merlet, G., &amp; Romero, J. (2015). Effect of fluid dynamic conditions on the recovery of ABE fermentation products by membrane-based dense gas extraction. </w:t>
      </w:r>
      <w:r w:rsidRPr="00D50762">
        <w:rPr>
          <w:rFonts w:cs="Arial"/>
          <w:i/>
          <w:iCs/>
          <w:noProof/>
          <w:szCs w:val="24"/>
        </w:rPr>
        <w:t>Chemical Engineering and Processing: Process Intensification</w:t>
      </w:r>
      <w:r w:rsidRPr="00D50762">
        <w:rPr>
          <w:rFonts w:cs="Arial"/>
          <w:noProof/>
          <w:szCs w:val="24"/>
        </w:rPr>
        <w:t xml:space="preserve">, </w:t>
      </w:r>
      <w:r w:rsidRPr="00D50762">
        <w:rPr>
          <w:rFonts w:cs="Arial"/>
          <w:i/>
          <w:iCs/>
          <w:noProof/>
          <w:szCs w:val="24"/>
        </w:rPr>
        <w:t>95</w:t>
      </w:r>
      <w:r w:rsidRPr="00D50762">
        <w:rPr>
          <w:rFonts w:cs="Arial"/>
          <w:noProof/>
          <w:szCs w:val="24"/>
        </w:rPr>
        <w:t>, 80–89. https://doi.org/10.1016/j.cep.2015.04.003</w:t>
      </w:r>
    </w:p>
    <w:p w14:paraId="30DC2505"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D50762">
        <w:rPr>
          <w:rFonts w:cs="Arial"/>
          <w:noProof/>
          <w:szCs w:val="24"/>
        </w:rPr>
        <w:t xml:space="preserve">Chen, H., Cai, D., Chen, C., Zhang, C., Wang, J., &amp; Qin, P. (2019). Techno-economic analysis of acetone-butanol-ethanol distillation sequences feeding the biphasic condensate after in situ gas stripping separation. </w:t>
      </w:r>
      <w:r w:rsidRPr="00D50762">
        <w:rPr>
          <w:rFonts w:cs="Arial"/>
          <w:i/>
          <w:iCs/>
          <w:noProof/>
          <w:szCs w:val="24"/>
        </w:rPr>
        <w:t>Separation and Purification Technology</w:t>
      </w:r>
      <w:r w:rsidRPr="00D50762">
        <w:rPr>
          <w:rFonts w:cs="Arial"/>
          <w:noProof/>
          <w:szCs w:val="24"/>
        </w:rPr>
        <w:t xml:space="preserve">, </w:t>
      </w:r>
      <w:r w:rsidRPr="00D50762">
        <w:rPr>
          <w:rFonts w:cs="Arial"/>
          <w:i/>
          <w:iCs/>
          <w:noProof/>
          <w:szCs w:val="24"/>
        </w:rPr>
        <w:t>219</w:t>
      </w:r>
      <w:r w:rsidRPr="00D50762">
        <w:rPr>
          <w:rFonts w:cs="Arial"/>
          <w:noProof/>
          <w:szCs w:val="24"/>
        </w:rPr>
        <w:t>, 241–248. https://doi.org/https://doi.org/10.1016/j.seppur.2019.03.002</w:t>
      </w:r>
    </w:p>
    <w:p w14:paraId="08850E1B"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716362">
        <w:rPr>
          <w:rFonts w:cs="Arial"/>
          <w:noProof/>
          <w:szCs w:val="24"/>
          <w:lang w:val="es-CL"/>
        </w:rPr>
        <w:t xml:space="preserve">Claes, S., Vandezande, P., Mullens, S., De Sitter, K., Peeters, R., &amp; Van Bael, M. K. (2012). </w:t>
      </w:r>
      <w:r w:rsidRPr="00D50762">
        <w:rPr>
          <w:rFonts w:cs="Arial"/>
          <w:noProof/>
          <w:szCs w:val="24"/>
        </w:rPr>
        <w:t xml:space="preserve">Preparation and benchmarking of thin film supported PTMSP-silica pervaporation membranes. </w:t>
      </w:r>
      <w:r w:rsidRPr="00D50762">
        <w:rPr>
          <w:rFonts w:cs="Arial"/>
          <w:i/>
          <w:iCs/>
          <w:noProof/>
          <w:szCs w:val="24"/>
        </w:rPr>
        <w:t>Journal of Membrane Science</w:t>
      </w:r>
      <w:r w:rsidRPr="00D50762">
        <w:rPr>
          <w:rFonts w:cs="Arial"/>
          <w:noProof/>
          <w:szCs w:val="24"/>
        </w:rPr>
        <w:t xml:space="preserve">, </w:t>
      </w:r>
      <w:r w:rsidRPr="00D50762">
        <w:rPr>
          <w:rFonts w:cs="Arial"/>
          <w:i/>
          <w:iCs/>
          <w:noProof/>
          <w:szCs w:val="24"/>
        </w:rPr>
        <w:t>389</w:t>
      </w:r>
      <w:r w:rsidRPr="00D50762">
        <w:rPr>
          <w:rFonts w:cs="Arial"/>
          <w:noProof/>
          <w:szCs w:val="24"/>
        </w:rPr>
        <w:t>, 265–271. https://doi.org/https://doi.org/10.1016/j.memsci.2011.10.035</w:t>
      </w:r>
    </w:p>
    <w:p w14:paraId="737ADAC0"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DA0CB3">
        <w:rPr>
          <w:rFonts w:cs="Arial"/>
          <w:noProof/>
          <w:szCs w:val="24"/>
          <w:lang w:val="es-CL"/>
        </w:rPr>
        <w:t xml:space="preserve">Collins, S. E., Baltanás, M. A., Delgado, J. J., Borgna, A., &amp; Bonivardi, A. L. (2020). </w:t>
      </w:r>
      <w:r w:rsidRPr="00D50762">
        <w:rPr>
          <w:rFonts w:cs="Arial"/>
          <w:noProof/>
          <w:szCs w:val="24"/>
        </w:rPr>
        <w:t xml:space="preserve">CO2 hydrogenation to methanol on Ga2O3-Pd/SiO2 catalysts: Dual oxide-metal sites or (bi)metallic surface sites? </w:t>
      </w:r>
      <w:r w:rsidRPr="00D50762">
        <w:rPr>
          <w:rFonts w:cs="Arial"/>
          <w:i/>
          <w:iCs/>
          <w:noProof/>
          <w:szCs w:val="24"/>
        </w:rPr>
        <w:t>Catalysis Today</w:t>
      </w:r>
      <w:r w:rsidRPr="00D50762">
        <w:rPr>
          <w:rFonts w:cs="Arial"/>
          <w:noProof/>
          <w:szCs w:val="24"/>
        </w:rPr>
        <w:t>. https://doi.org/10.1016/J.CATTOD.2020.07.048</w:t>
      </w:r>
    </w:p>
    <w:p w14:paraId="4B26F9C0"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D50762">
        <w:rPr>
          <w:rFonts w:cs="Arial"/>
          <w:noProof/>
          <w:szCs w:val="24"/>
        </w:rPr>
        <w:t xml:space="preserve">Diban, N., Voinea, O. C., Urtiaga, A., &amp; Ortiz, I. (2009). Vacuum membrane distillation of the main pear aroma compound: Experimental study and mass transfer modeling. </w:t>
      </w:r>
      <w:r w:rsidRPr="00D50762">
        <w:rPr>
          <w:rFonts w:cs="Arial"/>
          <w:i/>
          <w:iCs/>
          <w:noProof/>
          <w:szCs w:val="24"/>
        </w:rPr>
        <w:t>Journal of Membrane Science</w:t>
      </w:r>
      <w:r w:rsidRPr="00D50762">
        <w:rPr>
          <w:rFonts w:cs="Arial"/>
          <w:noProof/>
          <w:szCs w:val="24"/>
        </w:rPr>
        <w:t xml:space="preserve">, </w:t>
      </w:r>
      <w:r w:rsidRPr="00D50762">
        <w:rPr>
          <w:rFonts w:cs="Arial"/>
          <w:i/>
          <w:iCs/>
          <w:noProof/>
          <w:szCs w:val="24"/>
        </w:rPr>
        <w:t>326</w:t>
      </w:r>
      <w:r w:rsidRPr="00D50762">
        <w:rPr>
          <w:rFonts w:cs="Arial"/>
          <w:noProof/>
          <w:szCs w:val="24"/>
        </w:rPr>
        <w:t>(1), 64–75. https://doi.org/10.1016/j.memsci.2008.09.024</w:t>
      </w:r>
    </w:p>
    <w:p w14:paraId="31481A49" w14:textId="77777777" w:rsidR="00D50762" w:rsidRPr="00DA0CB3" w:rsidRDefault="00D50762" w:rsidP="00D50762">
      <w:pPr>
        <w:widowControl w:val="0"/>
        <w:autoSpaceDE w:val="0"/>
        <w:autoSpaceDN w:val="0"/>
        <w:adjustRightInd w:val="0"/>
        <w:spacing w:line="240" w:lineRule="auto"/>
        <w:ind w:left="480" w:hanging="480"/>
        <w:rPr>
          <w:rFonts w:cs="Arial"/>
          <w:noProof/>
          <w:szCs w:val="24"/>
          <w:lang w:val="es-CL"/>
        </w:rPr>
      </w:pPr>
      <w:r w:rsidRPr="00D50762">
        <w:rPr>
          <w:rFonts w:cs="Arial"/>
          <w:noProof/>
          <w:szCs w:val="24"/>
        </w:rPr>
        <w:t xml:space="preserve">Lauri, R., Tayou, N., Pavan, L., Majone, P., Pietrangeli, M., &amp; Valentino, B. (2021). Acidogenic Fermentation of Urban Organic Waste: Effect of Operating Parameters on Process Performance and Safety. </w:t>
      </w:r>
      <w:r w:rsidRPr="00DA0CB3">
        <w:rPr>
          <w:rFonts w:cs="Arial"/>
          <w:i/>
          <w:iCs/>
          <w:noProof/>
          <w:szCs w:val="24"/>
          <w:lang w:val="es-CL"/>
        </w:rPr>
        <w:t>Chemical Engineering Transactions</w:t>
      </w:r>
      <w:r w:rsidRPr="00DA0CB3">
        <w:rPr>
          <w:rFonts w:cs="Arial"/>
          <w:noProof/>
          <w:szCs w:val="24"/>
          <w:lang w:val="es-CL"/>
        </w:rPr>
        <w:t xml:space="preserve">, </w:t>
      </w:r>
      <w:r w:rsidRPr="00DA0CB3">
        <w:rPr>
          <w:rFonts w:cs="Arial"/>
          <w:i/>
          <w:iCs/>
          <w:noProof/>
          <w:szCs w:val="24"/>
          <w:lang w:val="es-CL"/>
        </w:rPr>
        <w:t>86</w:t>
      </w:r>
      <w:r w:rsidRPr="00DA0CB3">
        <w:rPr>
          <w:rFonts w:cs="Arial"/>
          <w:noProof/>
          <w:szCs w:val="24"/>
          <w:lang w:val="es-CL"/>
        </w:rPr>
        <w:t>, 55–60. https://doi.org/10.3303/CET2186010</w:t>
      </w:r>
    </w:p>
    <w:p w14:paraId="36252CB3" w14:textId="77777777" w:rsidR="00D50762" w:rsidRPr="00DA0CB3" w:rsidRDefault="00D50762" w:rsidP="00D50762">
      <w:pPr>
        <w:widowControl w:val="0"/>
        <w:autoSpaceDE w:val="0"/>
        <w:autoSpaceDN w:val="0"/>
        <w:adjustRightInd w:val="0"/>
        <w:spacing w:line="240" w:lineRule="auto"/>
        <w:ind w:left="480" w:hanging="480"/>
        <w:rPr>
          <w:rFonts w:cs="Arial"/>
          <w:noProof/>
          <w:szCs w:val="24"/>
          <w:lang w:val="es-CL"/>
        </w:rPr>
      </w:pPr>
      <w:r w:rsidRPr="00DA0CB3">
        <w:rPr>
          <w:rFonts w:cs="Arial"/>
          <w:noProof/>
          <w:szCs w:val="24"/>
          <w:lang w:val="es-CL"/>
        </w:rPr>
        <w:t xml:space="preserve">Merlet, G., Uribe, F., Aravena, C., Rodríguez, M., Cabezas, R., Quijada-Maldonado, E., &amp; Romero, J. (2017). </w:t>
      </w:r>
      <w:r w:rsidRPr="00D50762">
        <w:rPr>
          <w:rFonts w:cs="Arial"/>
          <w:noProof/>
          <w:szCs w:val="24"/>
        </w:rPr>
        <w:t xml:space="preserve">Separation of fermentation products from ABE mixtures by perstraction using hydrophobic ionic liquids as extractants. </w:t>
      </w:r>
      <w:r w:rsidRPr="00DA0CB3">
        <w:rPr>
          <w:rFonts w:cs="Arial"/>
          <w:i/>
          <w:iCs/>
          <w:noProof/>
          <w:szCs w:val="24"/>
          <w:lang w:val="es-CL"/>
        </w:rPr>
        <w:t>Journal of Membrane Science</w:t>
      </w:r>
      <w:r w:rsidRPr="00DA0CB3">
        <w:rPr>
          <w:rFonts w:cs="Arial"/>
          <w:noProof/>
          <w:szCs w:val="24"/>
          <w:lang w:val="es-CL"/>
        </w:rPr>
        <w:t xml:space="preserve">, </w:t>
      </w:r>
      <w:r w:rsidRPr="00DA0CB3">
        <w:rPr>
          <w:rFonts w:cs="Arial"/>
          <w:i/>
          <w:iCs/>
          <w:noProof/>
          <w:szCs w:val="24"/>
          <w:lang w:val="es-CL"/>
        </w:rPr>
        <w:t>537</w:t>
      </w:r>
      <w:r w:rsidRPr="00DA0CB3">
        <w:rPr>
          <w:rFonts w:cs="Arial"/>
          <w:noProof/>
          <w:szCs w:val="24"/>
          <w:lang w:val="es-CL"/>
        </w:rPr>
        <w:t>, 337–343. https://doi.org/10.1016/j.memsci.2017.05.045</w:t>
      </w:r>
    </w:p>
    <w:p w14:paraId="4B30A21F"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DA0CB3">
        <w:rPr>
          <w:rFonts w:cs="Arial"/>
          <w:noProof/>
          <w:szCs w:val="24"/>
          <w:lang w:val="es-CL"/>
        </w:rPr>
        <w:t xml:space="preserve">Olea, F., Merlet, G., Araya-López, C., Cabezas, R., Villarroel, E., Quijada-Maldonado, E., &amp; Romero, J. (2021). </w:t>
      </w:r>
      <w:r w:rsidRPr="00D50762">
        <w:rPr>
          <w:rFonts w:cs="Arial"/>
          <w:noProof/>
          <w:szCs w:val="24"/>
        </w:rPr>
        <w:t xml:space="preserve">Separation of vanillin by perstraction using hydrophobic ionic liquids as extractant phase: Analysis of mass transfer and screening of ILs via COSMO-RS. </w:t>
      </w:r>
      <w:r w:rsidRPr="00D50762">
        <w:rPr>
          <w:rFonts w:cs="Arial"/>
          <w:i/>
          <w:iCs/>
          <w:noProof/>
          <w:szCs w:val="24"/>
        </w:rPr>
        <w:t>Separation and Purification Technology</w:t>
      </w:r>
      <w:r w:rsidRPr="00D50762">
        <w:rPr>
          <w:rFonts w:cs="Arial"/>
          <w:noProof/>
          <w:szCs w:val="24"/>
        </w:rPr>
        <w:t xml:space="preserve">, </w:t>
      </w:r>
      <w:r w:rsidRPr="00D50762">
        <w:rPr>
          <w:rFonts w:cs="Arial"/>
          <w:i/>
          <w:iCs/>
          <w:noProof/>
          <w:szCs w:val="24"/>
        </w:rPr>
        <w:t>274</w:t>
      </w:r>
      <w:r w:rsidRPr="00D50762">
        <w:rPr>
          <w:rFonts w:cs="Arial"/>
          <w:noProof/>
          <w:szCs w:val="24"/>
        </w:rPr>
        <w:t>. https://doi.org/10.1016/j.seppur.2021.119008</w:t>
      </w:r>
    </w:p>
    <w:p w14:paraId="23C869F6"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D50762">
        <w:rPr>
          <w:rFonts w:cs="Arial"/>
          <w:noProof/>
          <w:szCs w:val="24"/>
        </w:rPr>
        <w:t xml:space="preserve">Oliveira, F. S., Araújo, J. M. M., Ferreira, R., Rebelo, L. P. N., &amp; Marrucho, I. M. (2012). Extraction of l-lactic, l-malic, and succinic acids using phosphonium-based ionic liquids. </w:t>
      </w:r>
      <w:r w:rsidRPr="00D50762">
        <w:rPr>
          <w:rFonts w:cs="Arial"/>
          <w:i/>
          <w:iCs/>
          <w:noProof/>
          <w:szCs w:val="24"/>
        </w:rPr>
        <w:t>Separation and Purification Technology</w:t>
      </w:r>
      <w:r w:rsidRPr="00D50762">
        <w:rPr>
          <w:rFonts w:cs="Arial"/>
          <w:noProof/>
          <w:szCs w:val="24"/>
        </w:rPr>
        <w:t xml:space="preserve">, </w:t>
      </w:r>
      <w:r w:rsidRPr="00D50762">
        <w:rPr>
          <w:rFonts w:cs="Arial"/>
          <w:i/>
          <w:iCs/>
          <w:noProof/>
          <w:szCs w:val="24"/>
        </w:rPr>
        <w:t>85</w:t>
      </w:r>
      <w:r w:rsidRPr="00D50762">
        <w:rPr>
          <w:rFonts w:cs="Arial"/>
          <w:noProof/>
          <w:szCs w:val="24"/>
        </w:rPr>
        <w:t>, 137–146. https://doi.org/10.1016/j.seppur.2011.10.002</w:t>
      </w:r>
    </w:p>
    <w:p w14:paraId="5A95CF04" w14:textId="77777777" w:rsidR="00D50762" w:rsidRPr="00716362" w:rsidRDefault="00D50762" w:rsidP="00D50762">
      <w:pPr>
        <w:widowControl w:val="0"/>
        <w:autoSpaceDE w:val="0"/>
        <w:autoSpaceDN w:val="0"/>
        <w:adjustRightInd w:val="0"/>
        <w:spacing w:line="240" w:lineRule="auto"/>
        <w:ind w:left="480" w:hanging="480"/>
        <w:rPr>
          <w:rFonts w:cs="Arial"/>
          <w:noProof/>
          <w:szCs w:val="24"/>
          <w:lang w:val="en-US"/>
        </w:rPr>
      </w:pPr>
      <w:r w:rsidRPr="00D50762">
        <w:rPr>
          <w:rFonts w:cs="Arial"/>
          <w:noProof/>
          <w:szCs w:val="24"/>
        </w:rPr>
        <w:t xml:space="preserve">Pietrelli, L., Ferro, S., Reverberi, A. P., &amp; Vocciante, M. (2022). Sustainable Removal of Nitrates from Wastewater Using Membrane Bioreactors. </w:t>
      </w:r>
      <w:r w:rsidRPr="00716362">
        <w:rPr>
          <w:rFonts w:cs="Arial"/>
          <w:i/>
          <w:iCs/>
          <w:noProof/>
          <w:szCs w:val="24"/>
          <w:lang w:val="en-US"/>
        </w:rPr>
        <w:t>Chemical Engineering Transactions</w:t>
      </w:r>
      <w:r w:rsidRPr="00716362">
        <w:rPr>
          <w:rFonts w:cs="Arial"/>
          <w:noProof/>
          <w:szCs w:val="24"/>
          <w:lang w:val="en-US"/>
        </w:rPr>
        <w:t xml:space="preserve">, </w:t>
      </w:r>
      <w:r w:rsidRPr="00716362">
        <w:rPr>
          <w:rFonts w:cs="Arial"/>
          <w:i/>
          <w:iCs/>
          <w:noProof/>
          <w:szCs w:val="24"/>
          <w:lang w:val="en-US"/>
        </w:rPr>
        <w:t>91</w:t>
      </w:r>
      <w:r w:rsidRPr="00716362">
        <w:rPr>
          <w:rFonts w:cs="Arial"/>
          <w:noProof/>
          <w:szCs w:val="24"/>
          <w:lang w:val="en-US"/>
        </w:rPr>
        <w:t>, 217–222. https://doi.org/10.3303/CET2291037</w:t>
      </w:r>
    </w:p>
    <w:p w14:paraId="4033C5B0"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DA0CB3">
        <w:rPr>
          <w:rFonts w:cs="Arial"/>
          <w:noProof/>
          <w:szCs w:val="24"/>
          <w:lang w:val="es-CL"/>
        </w:rPr>
        <w:t xml:space="preserve">Reinoso-Guerra, E., Aristizabal, J., Arce, B., Zurob, E., Dennett, G., Fuentes, R., Suescún, A. V., Cárdenas, L., Rodrigues Da Cunha, T. H., Cabezas, R., García-Herrera, C., &amp; Parra, C. (2021). </w:t>
      </w:r>
      <w:r w:rsidRPr="00D50762">
        <w:rPr>
          <w:rFonts w:cs="Arial"/>
          <w:noProof/>
          <w:szCs w:val="24"/>
        </w:rPr>
        <w:t xml:space="preserve">Nanostructured Didymosphenia geminata-based membrane for efficient lead adsorption from aqueous solution. </w:t>
      </w:r>
      <w:r w:rsidRPr="00D50762">
        <w:rPr>
          <w:rFonts w:cs="Arial"/>
          <w:i/>
          <w:iCs/>
          <w:noProof/>
          <w:szCs w:val="24"/>
        </w:rPr>
        <w:t>Journal of Environmental Chemical Engineering</w:t>
      </w:r>
      <w:r w:rsidRPr="00D50762">
        <w:rPr>
          <w:rFonts w:cs="Arial"/>
          <w:noProof/>
          <w:szCs w:val="24"/>
        </w:rPr>
        <w:t xml:space="preserve">, </w:t>
      </w:r>
      <w:r w:rsidRPr="00D50762">
        <w:rPr>
          <w:rFonts w:cs="Arial"/>
          <w:i/>
          <w:iCs/>
          <w:noProof/>
          <w:szCs w:val="24"/>
        </w:rPr>
        <w:t>9</w:t>
      </w:r>
      <w:r w:rsidRPr="00D50762">
        <w:rPr>
          <w:rFonts w:cs="Arial"/>
          <w:noProof/>
          <w:szCs w:val="24"/>
        </w:rPr>
        <w:t>(4), 105269. https://doi.org/10.1016/J.JECE.2021.105269</w:t>
      </w:r>
    </w:p>
    <w:p w14:paraId="1D33C6BC" w14:textId="77777777" w:rsidR="00D50762" w:rsidRPr="00D50762" w:rsidRDefault="00D50762" w:rsidP="00D50762">
      <w:pPr>
        <w:widowControl w:val="0"/>
        <w:autoSpaceDE w:val="0"/>
        <w:autoSpaceDN w:val="0"/>
        <w:adjustRightInd w:val="0"/>
        <w:spacing w:line="240" w:lineRule="auto"/>
        <w:ind w:left="480" w:hanging="480"/>
        <w:rPr>
          <w:rFonts w:cs="Arial"/>
          <w:noProof/>
          <w:szCs w:val="24"/>
        </w:rPr>
      </w:pPr>
      <w:r w:rsidRPr="00DA0CB3">
        <w:rPr>
          <w:rFonts w:cs="Arial"/>
          <w:noProof/>
          <w:szCs w:val="24"/>
          <w:lang w:val="es-CL"/>
        </w:rPr>
        <w:t xml:space="preserve">Segovia-Hernández, J. G., Sánchez-Ramírez, E., Alcocer-García, H., Quíroz-Ramírez, J. J., Udugama, I. A., &amp; Mansouri, S. S. (2020). </w:t>
      </w:r>
      <w:r w:rsidRPr="00D50762">
        <w:rPr>
          <w:rFonts w:cs="Arial"/>
          <w:noProof/>
          <w:szCs w:val="24"/>
        </w:rPr>
        <w:t xml:space="preserve">Analysis of intensified sustainable schemes for biobutanol purification. </w:t>
      </w:r>
      <w:r w:rsidRPr="00D50762">
        <w:rPr>
          <w:rFonts w:cs="Arial"/>
          <w:i/>
          <w:iCs/>
          <w:noProof/>
          <w:szCs w:val="24"/>
        </w:rPr>
        <w:t>Chemical Engineering and Processing - Process Intensification</w:t>
      </w:r>
      <w:r w:rsidRPr="00D50762">
        <w:rPr>
          <w:rFonts w:cs="Arial"/>
          <w:noProof/>
          <w:szCs w:val="24"/>
        </w:rPr>
        <w:t xml:space="preserve">, </w:t>
      </w:r>
      <w:r w:rsidRPr="00D50762">
        <w:rPr>
          <w:rFonts w:cs="Arial"/>
          <w:i/>
          <w:iCs/>
          <w:noProof/>
          <w:szCs w:val="24"/>
        </w:rPr>
        <w:t>147</w:t>
      </w:r>
      <w:r w:rsidRPr="00D50762">
        <w:rPr>
          <w:rFonts w:cs="Arial"/>
          <w:noProof/>
          <w:szCs w:val="24"/>
        </w:rPr>
        <w:t>, 107737. https://doi.org/https://doi.org/10.1016/j.cep.2019.107737</w:t>
      </w:r>
    </w:p>
    <w:p w14:paraId="665BCCF2" w14:textId="77777777" w:rsidR="00D50762" w:rsidRPr="00D50762" w:rsidRDefault="00D50762" w:rsidP="00D50762">
      <w:pPr>
        <w:widowControl w:val="0"/>
        <w:autoSpaceDE w:val="0"/>
        <w:autoSpaceDN w:val="0"/>
        <w:adjustRightInd w:val="0"/>
        <w:spacing w:line="240" w:lineRule="auto"/>
        <w:ind w:left="480" w:hanging="480"/>
        <w:rPr>
          <w:rFonts w:cs="Arial"/>
          <w:noProof/>
        </w:rPr>
      </w:pPr>
      <w:r w:rsidRPr="00DA0CB3">
        <w:rPr>
          <w:rFonts w:cs="Arial"/>
          <w:noProof/>
          <w:szCs w:val="24"/>
          <w:lang w:val="es-CL"/>
        </w:rPr>
        <w:t xml:space="preserve">Segovia-Hernandez, J. G., Sánchez-Ramírez, E., Flores-Cordero, E., Quíroz-Ramírez, J. J., &amp; Errico, M. (2021). </w:t>
      </w:r>
      <w:r w:rsidRPr="00D50762">
        <w:rPr>
          <w:rFonts w:cs="Arial"/>
          <w:noProof/>
          <w:szCs w:val="24"/>
        </w:rPr>
        <w:t xml:space="preserve">Safety and Control Analysis of Hybrid Liquid-liquid Extraction and Divided Wall Column for Biobutanol Purification. </w:t>
      </w:r>
      <w:r w:rsidRPr="00D50762">
        <w:rPr>
          <w:rFonts w:cs="Arial"/>
          <w:i/>
          <w:iCs/>
          <w:noProof/>
          <w:szCs w:val="24"/>
        </w:rPr>
        <w:t>Chemical Engineering Transactions</w:t>
      </w:r>
      <w:r w:rsidRPr="00D50762">
        <w:rPr>
          <w:rFonts w:cs="Arial"/>
          <w:noProof/>
          <w:szCs w:val="24"/>
        </w:rPr>
        <w:t xml:space="preserve">, </w:t>
      </w:r>
      <w:r w:rsidRPr="00D50762">
        <w:rPr>
          <w:rFonts w:cs="Arial"/>
          <w:i/>
          <w:iCs/>
          <w:noProof/>
          <w:szCs w:val="24"/>
        </w:rPr>
        <w:t>86</w:t>
      </w:r>
      <w:r w:rsidRPr="00D50762">
        <w:rPr>
          <w:rFonts w:cs="Arial"/>
          <w:noProof/>
          <w:szCs w:val="24"/>
        </w:rPr>
        <w:t>, 1021–1026. https://doi.org/10.3303/CET2186171</w:t>
      </w:r>
    </w:p>
    <w:p w14:paraId="5A13856B" w14:textId="3B04B2D6" w:rsidR="006B4888" w:rsidRPr="005664BA" w:rsidRDefault="00BD63D2" w:rsidP="00BD63D2">
      <w:pPr>
        <w:pStyle w:val="CETReferencetext"/>
      </w:pPr>
      <w:r w:rsidRPr="005664BA">
        <w:fldChar w:fldCharType="end"/>
      </w:r>
    </w:p>
    <w:p w14:paraId="19C4FC68" w14:textId="77777777" w:rsidR="004628D2" w:rsidRPr="005664BA" w:rsidRDefault="004628D2" w:rsidP="00BD63D2">
      <w:pPr>
        <w:pStyle w:val="CETReferencetext"/>
      </w:pPr>
    </w:p>
    <w:sectPr w:rsidR="004628D2" w:rsidRPr="005664B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843C" w14:textId="77777777" w:rsidR="00C77B96" w:rsidRDefault="00C77B96" w:rsidP="004F5E36">
      <w:r>
        <w:separator/>
      </w:r>
    </w:p>
  </w:endnote>
  <w:endnote w:type="continuationSeparator" w:id="0">
    <w:p w14:paraId="029CA7E8" w14:textId="77777777" w:rsidR="00C77B96" w:rsidRDefault="00C77B9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6505" w14:textId="77777777" w:rsidR="00C77B96" w:rsidRDefault="00C77B96" w:rsidP="004F5E36">
      <w:r>
        <w:separator/>
      </w:r>
    </w:p>
  </w:footnote>
  <w:footnote w:type="continuationSeparator" w:id="0">
    <w:p w14:paraId="06455198" w14:textId="77777777" w:rsidR="00C77B96" w:rsidRDefault="00C77B9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2A9ACB6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FF38AF"/>
    <w:multiLevelType w:val="hybridMultilevel"/>
    <w:tmpl w:val="6E9A78B4"/>
    <w:lvl w:ilvl="0" w:tplc="2954FDDC">
      <w:start w:val="1"/>
      <w:numFmt w:val="bullet"/>
      <w:pStyle w:val="Ideas"/>
      <w:lvlText w:val="-"/>
      <w:lvlJc w:val="left"/>
      <w:pPr>
        <w:ind w:left="1069" w:hanging="360"/>
      </w:pPr>
      <w:rPr>
        <w:rFonts w:ascii="Arial" w:eastAsiaTheme="minorHAnsi" w:hAnsi="Arial" w:cs="Aria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4775026">
    <w:abstractNumId w:val="10"/>
  </w:num>
  <w:num w:numId="2" w16cid:durableId="1784689233">
    <w:abstractNumId w:val="8"/>
  </w:num>
  <w:num w:numId="3" w16cid:durableId="1219973697">
    <w:abstractNumId w:val="3"/>
  </w:num>
  <w:num w:numId="4" w16cid:durableId="1468545093">
    <w:abstractNumId w:val="2"/>
  </w:num>
  <w:num w:numId="5" w16cid:durableId="502471099">
    <w:abstractNumId w:val="1"/>
  </w:num>
  <w:num w:numId="6" w16cid:durableId="1851139511">
    <w:abstractNumId w:val="0"/>
  </w:num>
  <w:num w:numId="7" w16cid:durableId="2089770041">
    <w:abstractNumId w:val="9"/>
  </w:num>
  <w:num w:numId="8" w16cid:durableId="2106657077">
    <w:abstractNumId w:val="7"/>
  </w:num>
  <w:num w:numId="9" w16cid:durableId="293340088">
    <w:abstractNumId w:val="6"/>
  </w:num>
  <w:num w:numId="10" w16cid:durableId="500899208">
    <w:abstractNumId w:val="5"/>
  </w:num>
  <w:num w:numId="11" w16cid:durableId="1355960287">
    <w:abstractNumId w:val="4"/>
  </w:num>
  <w:num w:numId="12" w16cid:durableId="912861959">
    <w:abstractNumId w:val="17"/>
  </w:num>
  <w:num w:numId="13" w16cid:durableId="343097159">
    <w:abstractNumId w:val="12"/>
  </w:num>
  <w:num w:numId="14" w16cid:durableId="1186675164">
    <w:abstractNumId w:val="18"/>
  </w:num>
  <w:num w:numId="15" w16cid:durableId="1415979796">
    <w:abstractNumId w:val="21"/>
  </w:num>
  <w:num w:numId="16" w16cid:durableId="520510532">
    <w:abstractNumId w:val="20"/>
  </w:num>
  <w:num w:numId="17" w16cid:durableId="717511600">
    <w:abstractNumId w:val="11"/>
  </w:num>
  <w:num w:numId="18" w16cid:durableId="1836341865">
    <w:abstractNumId w:val="12"/>
    <w:lvlOverride w:ilvl="0">
      <w:startOverride w:val="1"/>
    </w:lvlOverride>
  </w:num>
  <w:num w:numId="19" w16cid:durableId="1231690765">
    <w:abstractNumId w:val="16"/>
  </w:num>
  <w:num w:numId="20" w16cid:durableId="1072193006">
    <w:abstractNumId w:val="15"/>
  </w:num>
  <w:num w:numId="21" w16cid:durableId="963148038">
    <w:abstractNumId w:val="14"/>
  </w:num>
  <w:num w:numId="22" w16cid:durableId="1724519607">
    <w:abstractNumId w:val="13"/>
  </w:num>
  <w:num w:numId="23" w16cid:durableId="18969682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17CB"/>
    <w:rsid w:val="0003148D"/>
    <w:rsid w:val="00031EEC"/>
    <w:rsid w:val="00044E10"/>
    <w:rsid w:val="00044EED"/>
    <w:rsid w:val="0004514C"/>
    <w:rsid w:val="00045D84"/>
    <w:rsid w:val="00051566"/>
    <w:rsid w:val="0005463D"/>
    <w:rsid w:val="00062A9A"/>
    <w:rsid w:val="00065058"/>
    <w:rsid w:val="000833A0"/>
    <w:rsid w:val="00085BA9"/>
    <w:rsid w:val="00086C39"/>
    <w:rsid w:val="000941D7"/>
    <w:rsid w:val="000A03B2"/>
    <w:rsid w:val="000A7319"/>
    <w:rsid w:val="000B26D6"/>
    <w:rsid w:val="000C6F4D"/>
    <w:rsid w:val="000D0268"/>
    <w:rsid w:val="000D34BE"/>
    <w:rsid w:val="000D3751"/>
    <w:rsid w:val="000D46FC"/>
    <w:rsid w:val="000E102F"/>
    <w:rsid w:val="000E2C4C"/>
    <w:rsid w:val="000E36F1"/>
    <w:rsid w:val="000E3A73"/>
    <w:rsid w:val="000E414A"/>
    <w:rsid w:val="000F08BB"/>
    <w:rsid w:val="000F093C"/>
    <w:rsid w:val="000F787B"/>
    <w:rsid w:val="000F787E"/>
    <w:rsid w:val="001035D6"/>
    <w:rsid w:val="0012091F"/>
    <w:rsid w:val="00121F56"/>
    <w:rsid w:val="001248D2"/>
    <w:rsid w:val="00124B28"/>
    <w:rsid w:val="00126BC2"/>
    <w:rsid w:val="001270FA"/>
    <w:rsid w:val="001308B6"/>
    <w:rsid w:val="0013121F"/>
    <w:rsid w:val="00131FE6"/>
    <w:rsid w:val="0013263F"/>
    <w:rsid w:val="001331DF"/>
    <w:rsid w:val="00133A4A"/>
    <w:rsid w:val="00134920"/>
    <w:rsid w:val="00134DE4"/>
    <w:rsid w:val="0014034D"/>
    <w:rsid w:val="00144D16"/>
    <w:rsid w:val="001509C7"/>
    <w:rsid w:val="00150E59"/>
    <w:rsid w:val="00152DE3"/>
    <w:rsid w:val="0015412C"/>
    <w:rsid w:val="00164CF9"/>
    <w:rsid w:val="001667A6"/>
    <w:rsid w:val="00175972"/>
    <w:rsid w:val="00182447"/>
    <w:rsid w:val="00184AD6"/>
    <w:rsid w:val="001A4A50"/>
    <w:rsid w:val="001A4AF7"/>
    <w:rsid w:val="001A53AC"/>
    <w:rsid w:val="001B0349"/>
    <w:rsid w:val="001B1E93"/>
    <w:rsid w:val="001B65C1"/>
    <w:rsid w:val="001C1214"/>
    <w:rsid w:val="001C13CE"/>
    <w:rsid w:val="001C684B"/>
    <w:rsid w:val="001C7265"/>
    <w:rsid w:val="001D02DC"/>
    <w:rsid w:val="001D0CFB"/>
    <w:rsid w:val="001D21AF"/>
    <w:rsid w:val="001D53FC"/>
    <w:rsid w:val="001E2E5B"/>
    <w:rsid w:val="001E36FA"/>
    <w:rsid w:val="001E7097"/>
    <w:rsid w:val="001F42A5"/>
    <w:rsid w:val="001F534D"/>
    <w:rsid w:val="001F7B9D"/>
    <w:rsid w:val="00201C93"/>
    <w:rsid w:val="00201EDC"/>
    <w:rsid w:val="0020390D"/>
    <w:rsid w:val="00206B20"/>
    <w:rsid w:val="002224B4"/>
    <w:rsid w:val="002229FB"/>
    <w:rsid w:val="002235C7"/>
    <w:rsid w:val="00224C51"/>
    <w:rsid w:val="00230C8D"/>
    <w:rsid w:val="00236C83"/>
    <w:rsid w:val="0024239B"/>
    <w:rsid w:val="00242796"/>
    <w:rsid w:val="002445C4"/>
    <w:rsid w:val="002447EF"/>
    <w:rsid w:val="00251550"/>
    <w:rsid w:val="002557FF"/>
    <w:rsid w:val="002612A7"/>
    <w:rsid w:val="002613AB"/>
    <w:rsid w:val="00263B05"/>
    <w:rsid w:val="00266CC2"/>
    <w:rsid w:val="0027221A"/>
    <w:rsid w:val="00275B61"/>
    <w:rsid w:val="00280FAF"/>
    <w:rsid w:val="002810C4"/>
    <w:rsid w:val="00282656"/>
    <w:rsid w:val="00283CD7"/>
    <w:rsid w:val="00296B83"/>
    <w:rsid w:val="002B4015"/>
    <w:rsid w:val="002B78CE"/>
    <w:rsid w:val="002C149B"/>
    <w:rsid w:val="002C2FB6"/>
    <w:rsid w:val="002C682E"/>
    <w:rsid w:val="002C6D13"/>
    <w:rsid w:val="002E0092"/>
    <w:rsid w:val="002E5FA7"/>
    <w:rsid w:val="002F3136"/>
    <w:rsid w:val="002F3309"/>
    <w:rsid w:val="003008CE"/>
    <w:rsid w:val="003009B7"/>
    <w:rsid w:val="00300E56"/>
    <w:rsid w:val="0030469C"/>
    <w:rsid w:val="003076DD"/>
    <w:rsid w:val="00310536"/>
    <w:rsid w:val="00314990"/>
    <w:rsid w:val="00321CA6"/>
    <w:rsid w:val="00323763"/>
    <w:rsid w:val="00334C09"/>
    <w:rsid w:val="00363A5A"/>
    <w:rsid w:val="00371C46"/>
    <w:rsid w:val="003723D4"/>
    <w:rsid w:val="003775FC"/>
    <w:rsid w:val="0038109A"/>
    <w:rsid w:val="00381905"/>
    <w:rsid w:val="00384CC8"/>
    <w:rsid w:val="003871FD"/>
    <w:rsid w:val="003A1E30"/>
    <w:rsid w:val="003A2829"/>
    <w:rsid w:val="003A641E"/>
    <w:rsid w:val="003A7D1C"/>
    <w:rsid w:val="003B304B"/>
    <w:rsid w:val="003B3146"/>
    <w:rsid w:val="003D0B21"/>
    <w:rsid w:val="003F015E"/>
    <w:rsid w:val="003F6447"/>
    <w:rsid w:val="003F79B5"/>
    <w:rsid w:val="00400414"/>
    <w:rsid w:val="004004A5"/>
    <w:rsid w:val="00404129"/>
    <w:rsid w:val="00412DD2"/>
    <w:rsid w:val="00412DD5"/>
    <w:rsid w:val="0041446B"/>
    <w:rsid w:val="00415F63"/>
    <w:rsid w:val="00430FDB"/>
    <w:rsid w:val="00434113"/>
    <w:rsid w:val="0044071E"/>
    <w:rsid w:val="00442099"/>
    <w:rsid w:val="0044329C"/>
    <w:rsid w:val="00450B2D"/>
    <w:rsid w:val="00453E24"/>
    <w:rsid w:val="00457456"/>
    <w:rsid w:val="004577FE"/>
    <w:rsid w:val="00457B9C"/>
    <w:rsid w:val="0046164A"/>
    <w:rsid w:val="004628D2"/>
    <w:rsid w:val="00462DCD"/>
    <w:rsid w:val="00463E00"/>
    <w:rsid w:val="004648AD"/>
    <w:rsid w:val="004703A9"/>
    <w:rsid w:val="004760DE"/>
    <w:rsid w:val="004763D7"/>
    <w:rsid w:val="004A004E"/>
    <w:rsid w:val="004A0A3A"/>
    <w:rsid w:val="004A24CF"/>
    <w:rsid w:val="004B4AEE"/>
    <w:rsid w:val="004C3D1D"/>
    <w:rsid w:val="004C3D84"/>
    <w:rsid w:val="004C76EB"/>
    <w:rsid w:val="004C7913"/>
    <w:rsid w:val="004E4DD6"/>
    <w:rsid w:val="004F2804"/>
    <w:rsid w:val="004F5E36"/>
    <w:rsid w:val="004F741D"/>
    <w:rsid w:val="005001F8"/>
    <w:rsid w:val="00501518"/>
    <w:rsid w:val="00503974"/>
    <w:rsid w:val="00507B47"/>
    <w:rsid w:val="00507BEF"/>
    <w:rsid w:val="00507CC9"/>
    <w:rsid w:val="00511370"/>
    <w:rsid w:val="005119A5"/>
    <w:rsid w:val="005138B1"/>
    <w:rsid w:val="00514ADE"/>
    <w:rsid w:val="0051568C"/>
    <w:rsid w:val="005228BA"/>
    <w:rsid w:val="00522BCD"/>
    <w:rsid w:val="005266BF"/>
    <w:rsid w:val="005278B7"/>
    <w:rsid w:val="00530487"/>
    <w:rsid w:val="00532016"/>
    <w:rsid w:val="005346C8"/>
    <w:rsid w:val="00543E7D"/>
    <w:rsid w:val="00544DDB"/>
    <w:rsid w:val="0054626C"/>
    <w:rsid w:val="00547A68"/>
    <w:rsid w:val="00547DB1"/>
    <w:rsid w:val="005531C9"/>
    <w:rsid w:val="00564596"/>
    <w:rsid w:val="005664BA"/>
    <w:rsid w:val="00567B74"/>
    <w:rsid w:val="00567F90"/>
    <w:rsid w:val="00570C43"/>
    <w:rsid w:val="00577AF8"/>
    <w:rsid w:val="00584270"/>
    <w:rsid w:val="00586857"/>
    <w:rsid w:val="005961EF"/>
    <w:rsid w:val="005B2110"/>
    <w:rsid w:val="005B43A5"/>
    <w:rsid w:val="005B61E6"/>
    <w:rsid w:val="005C77E1"/>
    <w:rsid w:val="005D1E84"/>
    <w:rsid w:val="005D262E"/>
    <w:rsid w:val="005D51C5"/>
    <w:rsid w:val="005D668A"/>
    <w:rsid w:val="005D6A2F"/>
    <w:rsid w:val="005E1A82"/>
    <w:rsid w:val="005E794C"/>
    <w:rsid w:val="005F0A28"/>
    <w:rsid w:val="005F0E5E"/>
    <w:rsid w:val="005F3747"/>
    <w:rsid w:val="005F7990"/>
    <w:rsid w:val="00600535"/>
    <w:rsid w:val="0060114F"/>
    <w:rsid w:val="00610CD6"/>
    <w:rsid w:val="0061293E"/>
    <w:rsid w:val="00612FA7"/>
    <w:rsid w:val="006156F9"/>
    <w:rsid w:val="00620DEE"/>
    <w:rsid w:val="00621F92"/>
    <w:rsid w:val="0062280A"/>
    <w:rsid w:val="00625639"/>
    <w:rsid w:val="00631B33"/>
    <w:rsid w:val="0064184D"/>
    <w:rsid w:val="006422CC"/>
    <w:rsid w:val="00660E3E"/>
    <w:rsid w:val="00662E74"/>
    <w:rsid w:val="0066628A"/>
    <w:rsid w:val="00680C23"/>
    <w:rsid w:val="006847AA"/>
    <w:rsid w:val="00693766"/>
    <w:rsid w:val="006A0478"/>
    <w:rsid w:val="006A1E96"/>
    <w:rsid w:val="006A3281"/>
    <w:rsid w:val="006B4888"/>
    <w:rsid w:val="006B75B5"/>
    <w:rsid w:val="006C0F49"/>
    <w:rsid w:val="006C14B7"/>
    <w:rsid w:val="006C2E45"/>
    <w:rsid w:val="006C359C"/>
    <w:rsid w:val="006C5579"/>
    <w:rsid w:val="006D6E8B"/>
    <w:rsid w:val="006E26DE"/>
    <w:rsid w:val="006E3808"/>
    <w:rsid w:val="006E737D"/>
    <w:rsid w:val="006F3AAF"/>
    <w:rsid w:val="006F7253"/>
    <w:rsid w:val="006F7EBE"/>
    <w:rsid w:val="00700671"/>
    <w:rsid w:val="00705C72"/>
    <w:rsid w:val="00713973"/>
    <w:rsid w:val="00716362"/>
    <w:rsid w:val="00720A24"/>
    <w:rsid w:val="007218D8"/>
    <w:rsid w:val="0072405B"/>
    <w:rsid w:val="007273CE"/>
    <w:rsid w:val="00732386"/>
    <w:rsid w:val="00733E38"/>
    <w:rsid w:val="0073514D"/>
    <w:rsid w:val="00744095"/>
    <w:rsid w:val="007447F3"/>
    <w:rsid w:val="00747189"/>
    <w:rsid w:val="0075499F"/>
    <w:rsid w:val="007636A2"/>
    <w:rsid w:val="00763C43"/>
    <w:rsid w:val="007661C8"/>
    <w:rsid w:val="0077098D"/>
    <w:rsid w:val="0078436B"/>
    <w:rsid w:val="0079188F"/>
    <w:rsid w:val="007931FA"/>
    <w:rsid w:val="007944CB"/>
    <w:rsid w:val="007A4861"/>
    <w:rsid w:val="007A7BBA"/>
    <w:rsid w:val="007B0C50"/>
    <w:rsid w:val="007B2479"/>
    <w:rsid w:val="007B48F9"/>
    <w:rsid w:val="007C1A43"/>
    <w:rsid w:val="007C2FE6"/>
    <w:rsid w:val="007D74E5"/>
    <w:rsid w:val="007E4985"/>
    <w:rsid w:val="0080013E"/>
    <w:rsid w:val="00804F0A"/>
    <w:rsid w:val="00805A86"/>
    <w:rsid w:val="00812C1B"/>
    <w:rsid w:val="00813288"/>
    <w:rsid w:val="008168FC"/>
    <w:rsid w:val="00817AC3"/>
    <w:rsid w:val="008244BD"/>
    <w:rsid w:val="00830996"/>
    <w:rsid w:val="0083124F"/>
    <w:rsid w:val="008345F1"/>
    <w:rsid w:val="00837248"/>
    <w:rsid w:val="008467C6"/>
    <w:rsid w:val="00852834"/>
    <w:rsid w:val="00862B67"/>
    <w:rsid w:val="00864D9F"/>
    <w:rsid w:val="00865B07"/>
    <w:rsid w:val="008667EA"/>
    <w:rsid w:val="00870043"/>
    <w:rsid w:val="00874B39"/>
    <w:rsid w:val="0087637F"/>
    <w:rsid w:val="00884A32"/>
    <w:rsid w:val="00892AD5"/>
    <w:rsid w:val="00895647"/>
    <w:rsid w:val="008A1512"/>
    <w:rsid w:val="008A49F9"/>
    <w:rsid w:val="008D32B9"/>
    <w:rsid w:val="008D433B"/>
    <w:rsid w:val="008D4A16"/>
    <w:rsid w:val="008E28DC"/>
    <w:rsid w:val="008E4589"/>
    <w:rsid w:val="008E566E"/>
    <w:rsid w:val="008E7615"/>
    <w:rsid w:val="008F3CF7"/>
    <w:rsid w:val="008F7CB1"/>
    <w:rsid w:val="009010F6"/>
    <w:rsid w:val="0090161A"/>
    <w:rsid w:val="00901EB6"/>
    <w:rsid w:val="00904C62"/>
    <w:rsid w:val="00907C71"/>
    <w:rsid w:val="00922B0C"/>
    <w:rsid w:val="00922BA8"/>
    <w:rsid w:val="00924DAC"/>
    <w:rsid w:val="00927058"/>
    <w:rsid w:val="00941845"/>
    <w:rsid w:val="00942750"/>
    <w:rsid w:val="00942AC3"/>
    <w:rsid w:val="009450CE"/>
    <w:rsid w:val="00947179"/>
    <w:rsid w:val="009475DE"/>
    <w:rsid w:val="0095164B"/>
    <w:rsid w:val="00954090"/>
    <w:rsid w:val="009573E7"/>
    <w:rsid w:val="00963E05"/>
    <w:rsid w:val="00964A45"/>
    <w:rsid w:val="00967843"/>
    <w:rsid w:val="00967D54"/>
    <w:rsid w:val="00971028"/>
    <w:rsid w:val="00974084"/>
    <w:rsid w:val="00974BA5"/>
    <w:rsid w:val="0098371E"/>
    <w:rsid w:val="00986C62"/>
    <w:rsid w:val="00987A80"/>
    <w:rsid w:val="00993B84"/>
    <w:rsid w:val="00994B7E"/>
    <w:rsid w:val="00996483"/>
    <w:rsid w:val="00996F5A"/>
    <w:rsid w:val="009A50D3"/>
    <w:rsid w:val="009B041A"/>
    <w:rsid w:val="009C37C3"/>
    <w:rsid w:val="009C582E"/>
    <w:rsid w:val="009C7C86"/>
    <w:rsid w:val="009D2FF7"/>
    <w:rsid w:val="009D601B"/>
    <w:rsid w:val="009E7884"/>
    <w:rsid w:val="009E788A"/>
    <w:rsid w:val="009F0E08"/>
    <w:rsid w:val="00A063AE"/>
    <w:rsid w:val="00A1267A"/>
    <w:rsid w:val="00A16A2D"/>
    <w:rsid w:val="00A1763D"/>
    <w:rsid w:val="00A17CEC"/>
    <w:rsid w:val="00A2191F"/>
    <w:rsid w:val="00A22766"/>
    <w:rsid w:val="00A2410B"/>
    <w:rsid w:val="00A2651D"/>
    <w:rsid w:val="00A27EF0"/>
    <w:rsid w:val="00A42361"/>
    <w:rsid w:val="00A42C27"/>
    <w:rsid w:val="00A50B20"/>
    <w:rsid w:val="00A50BC0"/>
    <w:rsid w:val="00A51390"/>
    <w:rsid w:val="00A54EB4"/>
    <w:rsid w:val="00A55AB5"/>
    <w:rsid w:val="00A60D13"/>
    <w:rsid w:val="00A7223D"/>
    <w:rsid w:val="00A72745"/>
    <w:rsid w:val="00A76EFC"/>
    <w:rsid w:val="00A82DA5"/>
    <w:rsid w:val="00A845D3"/>
    <w:rsid w:val="00A84A7D"/>
    <w:rsid w:val="00A91010"/>
    <w:rsid w:val="00A93831"/>
    <w:rsid w:val="00A97F29"/>
    <w:rsid w:val="00AA2E28"/>
    <w:rsid w:val="00AA3E96"/>
    <w:rsid w:val="00AA702E"/>
    <w:rsid w:val="00AB0964"/>
    <w:rsid w:val="00AB5011"/>
    <w:rsid w:val="00AC15DD"/>
    <w:rsid w:val="00AC53DB"/>
    <w:rsid w:val="00AC7368"/>
    <w:rsid w:val="00AD16B9"/>
    <w:rsid w:val="00AE377D"/>
    <w:rsid w:val="00AE67C3"/>
    <w:rsid w:val="00AF0EBA"/>
    <w:rsid w:val="00B02C8A"/>
    <w:rsid w:val="00B0553E"/>
    <w:rsid w:val="00B17FBD"/>
    <w:rsid w:val="00B27CA0"/>
    <w:rsid w:val="00B315A6"/>
    <w:rsid w:val="00B31813"/>
    <w:rsid w:val="00B33365"/>
    <w:rsid w:val="00B42678"/>
    <w:rsid w:val="00B5025A"/>
    <w:rsid w:val="00B57B36"/>
    <w:rsid w:val="00B57E6F"/>
    <w:rsid w:val="00B61358"/>
    <w:rsid w:val="00B62825"/>
    <w:rsid w:val="00B62D9F"/>
    <w:rsid w:val="00B65C75"/>
    <w:rsid w:val="00B819BC"/>
    <w:rsid w:val="00B8686D"/>
    <w:rsid w:val="00B92A34"/>
    <w:rsid w:val="00B93F69"/>
    <w:rsid w:val="00B95A71"/>
    <w:rsid w:val="00BA1832"/>
    <w:rsid w:val="00BB010E"/>
    <w:rsid w:val="00BB033E"/>
    <w:rsid w:val="00BB1DDC"/>
    <w:rsid w:val="00BB2447"/>
    <w:rsid w:val="00BB5878"/>
    <w:rsid w:val="00BC30C9"/>
    <w:rsid w:val="00BD077D"/>
    <w:rsid w:val="00BD63D2"/>
    <w:rsid w:val="00BD63E0"/>
    <w:rsid w:val="00BD7232"/>
    <w:rsid w:val="00BE3E58"/>
    <w:rsid w:val="00BF0903"/>
    <w:rsid w:val="00BF1BC4"/>
    <w:rsid w:val="00BF55D1"/>
    <w:rsid w:val="00BF667D"/>
    <w:rsid w:val="00BF7343"/>
    <w:rsid w:val="00C01616"/>
    <w:rsid w:val="00C0162B"/>
    <w:rsid w:val="00C068ED"/>
    <w:rsid w:val="00C102C8"/>
    <w:rsid w:val="00C110CF"/>
    <w:rsid w:val="00C11234"/>
    <w:rsid w:val="00C22E0C"/>
    <w:rsid w:val="00C23C51"/>
    <w:rsid w:val="00C345B1"/>
    <w:rsid w:val="00C40142"/>
    <w:rsid w:val="00C40A3D"/>
    <w:rsid w:val="00C40D82"/>
    <w:rsid w:val="00C4765B"/>
    <w:rsid w:val="00C51A62"/>
    <w:rsid w:val="00C52C3C"/>
    <w:rsid w:val="00C54958"/>
    <w:rsid w:val="00C57182"/>
    <w:rsid w:val="00C57863"/>
    <w:rsid w:val="00C617EE"/>
    <w:rsid w:val="00C640AF"/>
    <w:rsid w:val="00C655FD"/>
    <w:rsid w:val="00C75407"/>
    <w:rsid w:val="00C77B96"/>
    <w:rsid w:val="00C870A8"/>
    <w:rsid w:val="00C94434"/>
    <w:rsid w:val="00C94E5D"/>
    <w:rsid w:val="00C961F8"/>
    <w:rsid w:val="00CA0274"/>
    <w:rsid w:val="00CA0D75"/>
    <w:rsid w:val="00CA1C95"/>
    <w:rsid w:val="00CA5A9C"/>
    <w:rsid w:val="00CB1663"/>
    <w:rsid w:val="00CB3D6A"/>
    <w:rsid w:val="00CC0E7A"/>
    <w:rsid w:val="00CC1264"/>
    <w:rsid w:val="00CC4C20"/>
    <w:rsid w:val="00CD3517"/>
    <w:rsid w:val="00CD5FE2"/>
    <w:rsid w:val="00CE391E"/>
    <w:rsid w:val="00CE7C68"/>
    <w:rsid w:val="00CF2999"/>
    <w:rsid w:val="00CF579F"/>
    <w:rsid w:val="00D0231B"/>
    <w:rsid w:val="00D02B4C"/>
    <w:rsid w:val="00D040C4"/>
    <w:rsid w:val="00D0677D"/>
    <w:rsid w:val="00D14983"/>
    <w:rsid w:val="00D20AD1"/>
    <w:rsid w:val="00D401B6"/>
    <w:rsid w:val="00D4048E"/>
    <w:rsid w:val="00D46B7E"/>
    <w:rsid w:val="00D50762"/>
    <w:rsid w:val="00D57192"/>
    <w:rsid w:val="00D578A4"/>
    <w:rsid w:val="00D57C84"/>
    <w:rsid w:val="00D6057D"/>
    <w:rsid w:val="00D70CF0"/>
    <w:rsid w:val="00D71640"/>
    <w:rsid w:val="00D800A0"/>
    <w:rsid w:val="00D83124"/>
    <w:rsid w:val="00D836C5"/>
    <w:rsid w:val="00D83E06"/>
    <w:rsid w:val="00D84576"/>
    <w:rsid w:val="00DA0CB3"/>
    <w:rsid w:val="00DA1399"/>
    <w:rsid w:val="00DA24C6"/>
    <w:rsid w:val="00DA4D7B"/>
    <w:rsid w:val="00DB2902"/>
    <w:rsid w:val="00DC511D"/>
    <w:rsid w:val="00DD271C"/>
    <w:rsid w:val="00DE264A"/>
    <w:rsid w:val="00DF40D1"/>
    <w:rsid w:val="00DF5072"/>
    <w:rsid w:val="00E02D18"/>
    <w:rsid w:val="00E041E7"/>
    <w:rsid w:val="00E05CE9"/>
    <w:rsid w:val="00E23CA1"/>
    <w:rsid w:val="00E35726"/>
    <w:rsid w:val="00E409A8"/>
    <w:rsid w:val="00E50C12"/>
    <w:rsid w:val="00E65B91"/>
    <w:rsid w:val="00E7209D"/>
    <w:rsid w:val="00E72EAD"/>
    <w:rsid w:val="00E77223"/>
    <w:rsid w:val="00E8528B"/>
    <w:rsid w:val="00E85B94"/>
    <w:rsid w:val="00E86BBD"/>
    <w:rsid w:val="00E978D0"/>
    <w:rsid w:val="00EA2308"/>
    <w:rsid w:val="00EA4613"/>
    <w:rsid w:val="00EA53C1"/>
    <w:rsid w:val="00EA6729"/>
    <w:rsid w:val="00EA7F91"/>
    <w:rsid w:val="00EB1523"/>
    <w:rsid w:val="00EC0E49"/>
    <w:rsid w:val="00EC101F"/>
    <w:rsid w:val="00EC1D9F"/>
    <w:rsid w:val="00ED76D0"/>
    <w:rsid w:val="00EE0131"/>
    <w:rsid w:val="00EE1365"/>
    <w:rsid w:val="00EE17B0"/>
    <w:rsid w:val="00EF06D9"/>
    <w:rsid w:val="00F0677B"/>
    <w:rsid w:val="00F129FF"/>
    <w:rsid w:val="00F143EB"/>
    <w:rsid w:val="00F174D1"/>
    <w:rsid w:val="00F21BD2"/>
    <w:rsid w:val="00F266CF"/>
    <w:rsid w:val="00F26B3C"/>
    <w:rsid w:val="00F30C64"/>
    <w:rsid w:val="00F32BA2"/>
    <w:rsid w:val="00F32CDB"/>
    <w:rsid w:val="00F33B61"/>
    <w:rsid w:val="00F44B1E"/>
    <w:rsid w:val="00F52949"/>
    <w:rsid w:val="00F56231"/>
    <w:rsid w:val="00F565FE"/>
    <w:rsid w:val="00F63A70"/>
    <w:rsid w:val="00F7534E"/>
    <w:rsid w:val="00F75743"/>
    <w:rsid w:val="00F772A6"/>
    <w:rsid w:val="00F7734B"/>
    <w:rsid w:val="00F775A0"/>
    <w:rsid w:val="00FA1802"/>
    <w:rsid w:val="00FA21D0"/>
    <w:rsid w:val="00FA3281"/>
    <w:rsid w:val="00FA5B35"/>
    <w:rsid w:val="00FA5F5F"/>
    <w:rsid w:val="00FB3E77"/>
    <w:rsid w:val="00FB730C"/>
    <w:rsid w:val="00FB7337"/>
    <w:rsid w:val="00FC2695"/>
    <w:rsid w:val="00FC3E03"/>
    <w:rsid w:val="00FC3FC1"/>
    <w:rsid w:val="00FC451C"/>
    <w:rsid w:val="00FC5DD9"/>
    <w:rsid w:val="00FD6E93"/>
    <w:rsid w:val="00FF10A1"/>
    <w:rsid w:val="00FF263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055FA0B2-C068-4C50-A5CA-3ADD9DE1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F08BB"/>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F08B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customStyle="1" w:styleId="q4iawc">
    <w:name w:val="q4iawc"/>
    <w:basedOn w:val="Fuentedeprrafopredeter"/>
    <w:rsid w:val="005266BF"/>
  </w:style>
  <w:style w:type="paragraph" w:customStyle="1" w:styleId="Ideas">
    <w:name w:val="Ideas"/>
    <w:basedOn w:val="Prrafodelista"/>
    <w:link w:val="IdeasCar"/>
    <w:qFormat/>
    <w:rsid w:val="006B75B5"/>
    <w:pPr>
      <w:numPr>
        <w:numId w:val="23"/>
      </w:numPr>
      <w:tabs>
        <w:tab w:val="clear" w:pos="7100"/>
      </w:tabs>
      <w:spacing w:before="240" w:line="360" w:lineRule="auto"/>
    </w:pPr>
    <w:rPr>
      <w:rFonts w:eastAsiaTheme="minorHAnsi" w:cstheme="minorBidi"/>
      <w:sz w:val="24"/>
      <w:szCs w:val="22"/>
      <w:lang w:val="es-CL"/>
    </w:rPr>
  </w:style>
  <w:style w:type="character" w:customStyle="1" w:styleId="IdeasCar">
    <w:name w:val="Ideas Car"/>
    <w:basedOn w:val="Fuentedeprrafopredeter"/>
    <w:link w:val="Ideas"/>
    <w:rsid w:val="006B75B5"/>
    <w:rPr>
      <w:rFonts w:ascii="Arial" w:hAnsi="Arial"/>
      <w:sz w:val="24"/>
      <w:lang w:val="es-CL"/>
    </w:rPr>
  </w:style>
  <w:style w:type="character" w:styleId="Textodelmarcadordeposicin">
    <w:name w:val="Placeholder Text"/>
    <w:basedOn w:val="Fuentedeprrafopredeter"/>
    <w:uiPriority w:val="99"/>
    <w:semiHidden/>
    <w:rsid w:val="00F266CF"/>
    <w:rPr>
      <w:color w:val="808080"/>
    </w:rPr>
  </w:style>
  <w:style w:type="paragraph" w:styleId="Revisin">
    <w:name w:val="Revision"/>
    <w:hidden/>
    <w:uiPriority w:val="99"/>
    <w:semiHidden/>
    <w:rsid w:val="00907C71"/>
    <w:pPr>
      <w:spacing w:after="0" w:line="240" w:lineRule="auto"/>
    </w:pPr>
    <w:rPr>
      <w:rFonts w:ascii="Arial" w:eastAsia="Times New Roman" w:hAnsi="Arial" w:cs="Times New Roman"/>
      <w:sz w:val="18"/>
      <w:szCs w:val="20"/>
      <w:lang w:val="en-GB"/>
    </w:rPr>
  </w:style>
  <w:style w:type="character" w:customStyle="1" w:styleId="viiyi">
    <w:name w:val="viiyi"/>
    <w:basedOn w:val="Fuentedeprrafopredeter"/>
    <w:rsid w:val="00586857"/>
  </w:style>
  <w:style w:type="character" w:customStyle="1" w:styleId="markedcontent">
    <w:name w:val="markedcontent"/>
    <w:basedOn w:val="Fuentedeprrafopredeter"/>
    <w:rsid w:val="00BB5878"/>
  </w:style>
  <w:style w:type="table" w:customStyle="1" w:styleId="Tablaconcuadrcula1">
    <w:name w:val="Tabla con cuadrícula1"/>
    <w:basedOn w:val="Tablanormal"/>
    <w:next w:val="Tablaconcuadrcula"/>
    <w:uiPriority w:val="39"/>
    <w:rsid w:val="00283C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64D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8530">
      <w:bodyDiv w:val="1"/>
      <w:marLeft w:val="0"/>
      <w:marRight w:val="0"/>
      <w:marTop w:val="0"/>
      <w:marBottom w:val="0"/>
      <w:divBdr>
        <w:top w:val="none" w:sz="0" w:space="0" w:color="auto"/>
        <w:left w:val="none" w:sz="0" w:space="0" w:color="auto"/>
        <w:bottom w:val="none" w:sz="0" w:space="0" w:color="auto"/>
        <w:right w:val="none" w:sz="0" w:space="0" w:color="auto"/>
      </w:divBdr>
    </w:div>
    <w:div w:id="29572170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34041">
      <w:bodyDiv w:val="1"/>
      <w:marLeft w:val="0"/>
      <w:marRight w:val="0"/>
      <w:marTop w:val="0"/>
      <w:marBottom w:val="0"/>
      <w:divBdr>
        <w:top w:val="none" w:sz="0" w:space="0" w:color="auto"/>
        <w:left w:val="none" w:sz="0" w:space="0" w:color="auto"/>
        <w:bottom w:val="none" w:sz="0" w:space="0" w:color="auto"/>
        <w:right w:val="none" w:sz="0" w:space="0" w:color="auto"/>
      </w:divBdr>
      <w:divsChild>
        <w:div w:id="1732190308">
          <w:marLeft w:val="0"/>
          <w:marRight w:val="0"/>
          <w:marTop w:val="0"/>
          <w:marBottom w:val="0"/>
          <w:divBdr>
            <w:top w:val="none" w:sz="0" w:space="0" w:color="auto"/>
            <w:left w:val="none" w:sz="0" w:space="0" w:color="auto"/>
            <w:bottom w:val="none" w:sz="0" w:space="0" w:color="auto"/>
            <w:right w:val="none" w:sz="0" w:space="0" w:color="auto"/>
          </w:divBdr>
        </w:div>
      </w:divsChild>
    </w:div>
    <w:div w:id="90545504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169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4449">
      <w:bodyDiv w:val="1"/>
      <w:marLeft w:val="0"/>
      <w:marRight w:val="0"/>
      <w:marTop w:val="0"/>
      <w:marBottom w:val="0"/>
      <w:divBdr>
        <w:top w:val="none" w:sz="0" w:space="0" w:color="auto"/>
        <w:left w:val="none" w:sz="0" w:space="0" w:color="auto"/>
        <w:bottom w:val="none" w:sz="0" w:space="0" w:color="auto"/>
        <w:right w:val="none" w:sz="0" w:space="0" w:color="auto"/>
      </w:divBdr>
    </w:div>
    <w:div w:id="1976063450">
      <w:bodyDiv w:val="1"/>
      <w:marLeft w:val="0"/>
      <w:marRight w:val="0"/>
      <w:marTop w:val="0"/>
      <w:marBottom w:val="0"/>
      <w:divBdr>
        <w:top w:val="none" w:sz="0" w:space="0" w:color="auto"/>
        <w:left w:val="none" w:sz="0" w:space="0" w:color="auto"/>
        <w:bottom w:val="none" w:sz="0" w:space="0" w:color="auto"/>
        <w:right w:val="none" w:sz="0" w:space="0" w:color="auto"/>
      </w:divBdr>
      <w:divsChild>
        <w:div w:id="586623175">
          <w:marLeft w:val="480"/>
          <w:marRight w:val="0"/>
          <w:marTop w:val="0"/>
          <w:marBottom w:val="0"/>
          <w:divBdr>
            <w:top w:val="none" w:sz="0" w:space="0" w:color="auto"/>
            <w:left w:val="none" w:sz="0" w:space="0" w:color="auto"/>
            <w:bottom w:val="none" w:sz="0" w:space="0" w:color="auto"/>
            <w:right w:val="none" w:sz="0" w:space="0" w:color="auto"/>
          </w:divBdr>
        </w:div>
        <w:div w:id="1689676822">
          <w:marLeft w:val="480"/>
          <w:marRight w:val="0"/>
          <w:marTop w:val="0"/>
          <w:marBottom w:val="0"/>
          <w:divBdr>
            <w:top w:val="none" w:sz="0" w:space="0" w:color="auto"/>
            <w:left w:val="none" w:sz="0" w:space="0" w:color="auto"/>
            <w:bottom w:val="none" w:sz="0" w:space="0" w:color="auto"/>
            <w:right w:val="none" w:sz="0" w:space="0" w:color="auto"/>
          </w:divBdr>
        </w:div>
        <w:div w:id="542912077">
          <w:marLeft w:val="480"/>
          <w:marRight w:val="0"/>
          <w:marTop w:val="0"/>
          <w:marBottom w:val="0"/>
          <w:divBdr>
            <w:top w:val="none" w:sz="0" w:space="0" w:color="auto"/>
            <w:left w:val="none" w:sz="0" w:space="0" w:color="auto"/>
            <w:bottom w:val="none" w:sz="0" w:space="0" w:color="auto"/>
            <w:right w:val="none" w:sz="0" w:space="0" w:color="auto"/>
          </w:divBdr>
        </w:div>
        <w:div w:id="1359813509">
          <w:marLeft w:val="480"/>
          <w:marRight w:val="0"/>
          <w:marTop w:val="0"/>
          <w:marBottom w:val="0"/>
          <w:divBdr>
            <w:top w:val="none" w:sz="0" w:space="0" w:color="auto"/>
            <w:left w:val="none" w:sz="0" w:space="0" w:color="auto"/>
            <w:bottom w:val="none" w:sz="0" w:space="0" w:color="auto"/>
            <w:right w:val="none" w:sz="0" w:space="0" w:color="auto"/>
          </w:divBdr>
        </w:div>
        <w:div w:id="1470051602">
          <w:marLeft w:val="480"/>
          <w:marRight w:val="0"/>
          <w:marTop w:val="0"/>
          <w:marBottom w:val="0"/>
          <w:divBdr>
            <w:top w:val="none" w:sz="0" w:space="0" w:color="auto"/>
            <w:left w:val="none" w:sz="0" w:space="0" w:color="auto"/>
            <w:bottom w:val="none" w:sz="0" w:space="0" w:color="auto"/>
            <w:right w:val="none" w:sz="0" w:space="0" w:color="auto"/>
          </w:divBdr>
        </w:div>
        <w:div w:id="2042626325">
          <w:marLeft w:val="480"/>
          <w:marRight w:val="0"/>
          <w:marTop w:val="0"/>
          <w:marBottom w:val="0"/>
          <w:divBdr>
            <w:top w:val="none" w:sz="0" w:space="0" w:color="auto"/>
            <w:left w:val="none" w:sz="0" w:space="0" w:color="auto"/>
            <w:bottom w:val="none" w:sz="0" w:space="0" w:color="auto"/>
            <w:right w:val="none" w:sz="0" w:space="0" w:color="auto"/>
          </w:divBdr>
        </w:div>
        <w:div w:id="321323732">
          <w:marLeft w:val="480"/>
          <w:marRight w:val="0"/>
          <w:marTop w:val="0"/>
          <w:marBottom w:val="0"/>
          <w:divBdr>
            <w:top w:val="none" w:sz="0" w:space="0" w:color="auto"/>
            <w:left w:val="none" w:sz="0" w:space="0" w:color="auto"/>
            <w:bottom w:val="none" w:sz="0" w:space="0" w:color="auto"/>
            <w:right w:val="none" w:sz="0" w:space="0" w:color="auto"/>
          </w:divBdr>
        </w:div>
        <w:div w:id="336423174">
          <w:marLeft w:val="480"/>
          <w:marRight w:val="0"/>
          <w:marTop w:val="0"/>
          <w:marBottom w:val="0"/>
          <w:divBdr>
            <w:top w:val="none" w:sz="0" w:space="0" w:color="auto"/>
            <w:left w:val="none" w:sz="0" w:space="0" w:color="auto"/>
            <w:bottom w:val="none" w:sz="0" w:space="0" w:color="auto"/>
            <w:right w:val="none" w:sz="0" w:space="0" w:color="auto"/>
          </w:divBdr>
        </w:div>
        <w:div w:id="745692133">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73100477824886"/>
          <c:y val="8.3124468596355028E-2"/>
          <c:w val="0.56742512955111379"/>
          <c:h val="0.75159082227397633"/>
        </c:manualLayout>
      </c:layout>
      <c:scatterChart>
        <c:scatterStyle val="lineMarker"/>
        <c:varyColors val="0"/>
        <c:ser>
          <c:idx val="4"/>
          <c:order val="0"/>
          <c:tx>
            <c:strRef>
              <c:f>Hoja1!$J$8</c:f>
              <c:strCache>
                <c:ptCount val="1"/>
                <c:pt idx="0">
                  <c:v>Butanol</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xVal>
            <c:numRef>
              <c:f>Hoja1!$H$9:$H$15</c:f>
              <c:numCache>
                <c:formatCode>General</c:formatCode>
                <c:ptCount val="7"/>
                <c:pt idx="0">
                  <c:v>0</c:v>
                </c:pt>
                <c:pt idx="1">
                  <c:v>1</c:v>
                </c:pt>
                <c:pt idx="2">
                  <c:v>2</c:v>
                </c:pt>
                <c:pt idx="3">
                  <c:v>3</c:v>
                </c:pt>
                <c:pt idx="4">
                  <c:v>4</c:v>
                </c:pt>
                <c:pt idx="5">
                  <c:v>5</c:v>
                </c:pt>
                <c:pt idx="6">
                  <c:v>6</c:v>
                </c:pt>
              </c:numCache>
            </c:numRef>
          </c:xVal>
          <c:yVal>
            <c:numRef>
              <c:f>Hoja1!$J$9:$J$15</c:f>
              <c:numCache>
                <c:formatCode>General</c:formatCode>
                <c:ptCount val="7"/>
                <c:pt idx="0">
                  <c:v>12000</c:v>
                </c:pt>
                <c:pt idx="1">
                  <c:v>10300</c:v>
                </c:pt>
                <c:pt idx="2">
                  <c:v>9900</c:v>
                </c:pt>
                <c:pt idx="3">
                  <c:v>9500</c:v>
                </c:pt>
                <c:pt idx="4">
                  <c:v>8900</c:v>
                </c:pt>
                <c:pt idx="5">
                  <c:v>8700</c:v>
                </c:pt>
                <c:pt idx="6">
                  <c:v>8200</c:v>
                </c:pt>
              </c:numCache>
            </c:numRef>
          </c:yVal>
          <c:smooth val="0"/>
          <c:extLst>
            <c:ext xmlns:c16="http://schemas.microsoft.com/office/drawing/2014/chart" uri="{C3380CC4-5D6E-409C-BE32-E72D297353CC}">
              <c16:uniqueId val="{00000000-F0DD-42A1-9F76-53A2C5C4304F}"/>
            </c:ext>
          </c:extLst>
        </c:ser>
        <c:ser>
          <c:idx val="5"/>
          <c:order val="1"/>
          <c:tx>
            <c:strRef>
              <c:f>Hoja1!$K$8</c:f>
              <c:strCache>
                <c:ptCount val="1"/>
                <c:pt idx="0">
                  <c:v>Ethanol</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Hoja1!$H$9:$H$15</c:f>
              <c:numCache>
                <c:formatCode>General</c:formatCode>
                <c:ptCount val="7"/>
                <c:pt idx="0">
                  <c:v>0</c:v>
                </c:pt>
                <c:pt idx="1">
                  <c:v>1</c:v>
                </c:pt>
                <c:pt idx="2">
                  <c:v>2</c:v>
                </c:pt>
                <c:pt idx="3">
                  <c:v>3</c:v>
                </c:pt>
                <c:pt idx="4">
                  <c:v>4</c:v>
                </c:pt>
                <c:pt idx="5">
                  <c:v>5</c:v>
                </c:pt>
                <c:pt idx="6">
                  <c:v>6</c:v>
                </c:pt>
              </c:numCache>
            </c:numRef>
          </c:xVal>
          <c:yVal>
            <c:numRef>
              <c:f>Hoja1!$K$9:$K$15</c:f>
              <c:numCache>
                <c:formatCode>General</c:formatCode>
                <c:ptCount val="7"/>
                <c:pt idx="0">
                  <c:v>2000</c:v>
                </c:pt>
                <c:pt idx="1">
                  <c:v>1990</c:v>
                </c:pt>
                <c:pt idx="2">
                  <c:v>1995</c:v>
                </c:pt>
                <c:pt idx="3">
                  <c:v>2000</c:v>
                </c:pt>
                <c:pt idx="4">
                  <c:v>1980</c:v>
                </c:pt>
                <c:pt idx="5">
                  <c:v>1985</c:v>
                </c:pt>
                <c:pt idx="6">
                  <c:v>1990</c:v>
                </c:pt>
              </c:numCache>
            </c:numRef>
          </c:yVal>
          <c:smooth val="0"/>
          <c:extLst>
            <c:ext xmlns:c16="http://schemas.microsoft.com/office/drawing/2014/chart" uri="{C3380CC4-5D6E-409C-BE32-E72D297353CC}">
              <c16:uniqueId val="{00000001-F0DD-42A1-9F76-53A2C5C4304F}"/>
            </c:ext>
          </c:extLst>
        </c:ser>
        <c:ser>
          <c:idx val="1"/>
          <c:order val="2"/>
          <c:tx>
            <c:strRef>
              <c:f>Hoja1!$I$8</c:f>
              <c:strCache>
                <c:ptCount val="1"/>
                <c:pt idx="0">
                  <c:v>Acetone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xVal>
            <c:numRef>
              <c:f>Hoja1!$H$9:$H$15</c:f>
              <c:numCache>
                <c:formatCode>General</c:formatCode>
                <c:ptCount val="7"/>
                <c:pt idx="0">
                  <c:v>0</c:v>
                </c:pt>
                <c:pt idx="1">
                  <c:v>1</c:v>
                </c:pt>
                <c:pt idx="2">
                  <c:v>2</c:v>
                </c:pt>
                <c:pt idx="3">
                  <c:v>3</c:v>
                </c:pt>
                <c:pt idx="4">
                  <c:v>4</c:v>
                </c:pt>
                <c:pt idx="5">
                  <c:v>5</c:v>
                </c:pt>
                <c:pt idx="6">
                  <c:v>6</c:v>
                </c:pt>
              </c:numCache>
            </c:numRef>
          </c:xVal>
          <c:yVal>
            <c:numRef>
              <c:f>Hoja1!$I$9:$I$15</c:f>
              <c:numCache>
                <c:formatCode>General</c:formatCode>
                <c:ptCount val="7"/>
                <c:pt idx="0">
                  <c:v>6000</c:v>
                </c:pt>
                <c:pt idx="1">
                  <c:v>5500</c:v>
                </c:pt>
                <c:pt idx="2">
                  <c:v>5300</c:v>
                </c:pt>
                <c:pt idx="3">
                  <c:v>5200</c:v>
                </c:pt>
                <c:pt idx="4">
                  <c:v>5000</c:v>
                </c:pt>
                <c:pt idx="5">
                  <c:v>4700</c:v>
                </c:pt>
                <c:pt idx="6">
                  <c:v>4500</c:v>
                </c:pt>
              </c:numCache>
            </c:numRef>
          </c:yVal>
          <c:smooth val="0"/>
          <c:extLst>
            <c:ext xmlns:c16="http://schemas.microsoft.com/office/drawing/2014/chart" uri="{C3380CC4-5D6E-409C-BE32-E72D297353CC}">
              <c16:uniqueId val="{00000002-F0DD-42A1-9F76-53A2C5C4304F}"/>
            </c:ext>
          </c:extLst>
        </c:ser>
        <c:dLbls>
          <c:showLegendKey val="0"/>
          <c:showVal val="0"/>
          <c:showCatName val="0"/>
          <c:showSerName val="0"/>
          <c:showPercent val="0"/>
          <c:showBubbleSize val="0"/>
        </c:dLbls>
        <c:axId val="366562688"/>
        <c:axId val="366563264"/>
      </c:scatterChart>
      <c:valAx>
        <c:axId val="366562688"/>
        <c:scaling>
          <c:orientation val="minMax"/>
          <c:max val="6"/>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66563264"/>
        <c:crosses val="autoZero"/>
        <c:crossBetween val="midCat"/>
      </c:valAx>
      <c:valAx>
        <c:axId val="366563264"/>
        <c:scaling>
          <c:orientation val="minMax"/>
          <c:max val="1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Concentration  [ppm]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66562688"/>
        <c:crosses val="autoZero"/>
        <c:crossBetween val="midCat"/>
      </c:valAx>
      <c:spPr>
        <a:noFill/>
        <a:ln>
          <a:noFill/>
        </a:ln>
        <a:effectLst/>
      </c:spPr>
    </c:plotArea>
    <c:legend>
      <c:legendPos val="r"/>
      <c:layout>
        <c:manualLayout>
          <c:xMode val="edge"/>
          <c:yMode val="edge"/>
          <c:x val="0.74160205935796486"/>
          <c:y val="0.30193523344793166"/>
          <c:w val="0.25839794064203514"/>
          <c:h val="0.396129533104136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BCE9AC-768F-46A9-A278-20A0A1331F1A}">
  <we:reference id="wa104382081" version="1.46.0.0" store="en-001" storeType="OMEX"/>
  <we:alternateReferences>
    <we:reference id="wa104382081" version="1.46.0.0" store="en-001" storeType="OMEX"/>
  </we:alternateReferences>
  <we:properties>
    <we:property name="MENDELEY_CITATIONS" valu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11916</Words>
  <Characters>65542</Characters>
  <Application>Microsoft Office Word</Application>
  <DocSecurity>0</DocSecurity>
  <Lines>546</Lines>
  <Paragraphs>154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77304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rene andres cabezas cornejo</cp:lastModifiedBy>
  <cp:revision>3</cp:revision>
  <cp:lastPrinted>2015-05-12T18:31:00Z</cp:lastPrinted>
  <dcterms:created xsi:type="dcterms:W3CDTF">2022-07-27T03:29:00Z</dcterms:created>
  <dcterms:modified xsi:type="dcterms:W3CDTF">2022-07-27T03:49:00Z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7e5a65a4-fca6-3bb3-8a07-906e0460f84a</vt:lpwstr>
  </property>
  <property fmtid="{D5CDD505-2E9C-101B-9397-08002B2CF9AE}" pid="7" name="Mendeley Recent Style Id 0_1">
    <vt:lpwstr>http://www.zotero.org/styles/acs-sustainable-chemistry-and-engineering</vt:lpwstr>
  </property>
  <property fmtid="{D5CDD505-2E9C-101B-9397-08002B2CF9AE}" pid="8" name="Mendeley Recent Style Name 0_1">
    <vt:lpwstr>ACS Sustainable Chemistry &amp; Engineering</vt:lpwstr>
  </property>
  <property fmtid="{D5CDD505-2E9C-101B-9397-08002B2CF9AE}" pid="9" name="Mendeley Recent Style Id 1_1">
    <vt:lpwstr>http://www.zotero.org/styles/american-medical-association</vt:lpwstr>
  </property>
  <property fmtid="{D5CDD505-2E9C-101B-9397-08002B2CF9AE}" pid="10" name="Mendeley Recent Style Name 1_1">
    <vt:lpwstr>American Medical Association 11th edition</vt:lpwstr>
  </property>
  <property fmtid="{D5CDD505-2E9C-101B-9397-08002B2CF9AE}" pid="11" name="Mendeley Recent Style Id 2_1">
    <vt:lpwstr>http://www.zotero.org/styles/american-political-science-association</vt:lpwstr>
  </property>
  <property fmtid="{D5CDD505-2E9C-101B-9397-08002B2CF9AE}" pid="12" name="Mendeley Recent Style Name 2_1">
    <vt:lpwstr>American Political Science Association</vt:lpwstr>
  </property>
  <property fmtid="{D5CDD505-2E9C-101B-9397-08002B2CF9AE}" pid="13" name="Mendeley Recent Style Id 3_1">
    <vt:lpwstr>http://www.zotero.org/styles/apa</vt:lpwstr>
  </property>
  <property fmtid="{D5CDD505-2E9C-101B-9397-08002B2CF9AE}" pid="14" name="Mendeley Recent Style Name 3_1">
    <vt:lpwstr>American Psychological Association 7th edition</vt:lpwstr>
  </property>
  <property fmtid="{D5CDD505-2E9C-101B-9397-08002B2CF9AE}" pid="15" name="Mendeley Recent Style Id 4_1">
    <vt:lpwstr>http://www.zotero.org/styles/american-sociological-association</vt:lpwstr>
  </property>
  <property fmtid="{D5CDD505-2E9C-101B-9397-08002B2CF9AE}" pid="16" name="Mendeley Recent Style Name 4_1">
    <vt:lpwstr>American Sociological Association 6th edition</vt:lpwstr>
  </property>
  <property fmtid="{D5CDD505-2E9C-101B-9397-08002B2CF9AE}" pid="17" name="Mendeley Recent Style Id 5_1">
    <vt:lpwstr>http://www.zotero.org/styles/chicago-author-date</vt:lpwstr>
  </property>
  <property fmtid="{D5CDD505-2E9C-101B-9397-08002B2CF9AE}" pid="18" name="Mendeley Recent Style Name 5_1">
    <vt:lpwstr>Chicago Manual of Style 17th edition (author-date)</vt:lpwstr>
  </property>
  <property fmtid="{D5CDD505-2E9C-101B-9397-08002B2CF9AE}" pid="19" name="Mendeley Recent Style Id 6_1">
    <vt:lpwstr>http://www.zotero.org/styles/harvard-cite-them-right</vt:lpwstr>
  </property>
  <property fmtid="{D5CDD505-2E9C-101B-9397-08002B2CF9AE}" pid="20" name="Mendeley Recent Style Name 6_1">
    <vt:lpwstr>Cite Them Right 10th edition - Harvard</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http://www.zotero.org/styles/separation-and-purification-technology</vt:lpwstr>
  </property>
  <property fmtid="{D5CDD505-2E9C-101B-9397-08002B2CF9AE}" pid="24" name="Mendeley Recent Style Name 8_1">
    <vt:lpwstr>Separation and Purification Technology</vt:lpwstr>
  </property>
  <property fmtid="{D5CDD505-2E9C-101B-9397-08002B2CF9AE}" pid="25" name="Mendeley Recent Style Id 9_1">
    <vt:lpwstr>http://www.zotero.org/styles/taylor-and-francis-acs</vt:lpwstr>
  </property>
  <property fmtid="{D5CDD505-2E9C-101B-9397-08002B2CF9AE}" pid="26" name="Mendeley Recent Style Name 9_1">
    <vt:lpwstr>Taylor &amp; Francis - American Chemical Society</vt:lpwstr>
  </property>
</Properties>
</file>